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55C56F" w14:textId="484167B5" w:rsidR="00700EF5" w:rsidRPr="0028218D"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C57CEC">
        <w:t>2</w:t>
      </w:r>
      <w:r w:rsidRPr="00CE0424">
        <w:tab/>
      </w:r>
      <w:r w:rsidR="006549AF" w:rsidRPr="0028218D">
        <w:rPr>
          <w:sz w:val="28"/>
          <w:szCs w:val="32"/>
        </w:rPr>
        <w:t>R2-</w:t>
      </w:r>
      <w:r w:rsidR="006549AF" w:rsidRPr="00846FD2">
        <w:rPr>
          <w:sz w:val="28"/>
          <w:szCs w:val="32"/>
        </w:rPr>
        <w:t>1</w:t>
      </w:r>
      <w:r w:rsidR="00896263">
        <w:rPr>
          <w:sz w:val="28"/>
          <w:szCs w:val="32"/>
        </w:rPr>
        <w:t>8</w:t>
      </w:r>
      <w:r w:rsidR="00B55FC7" w:rsidRPr="00B55FC7">
        <w:rPr>
          <w:sz w:val="28"/>
          <w:szCs w:val="32"/>
        </w:rPr>
        <w:t>07798</w:t>
      </w:r>
    </w:p>
    <w:p w14:paraId="54842AC2" w14:textId="043DC5B3" w:rsidR="00700EF5" w:rsidRPr="001D74C6" w:rsidRDefault="001D74C6" w:rsidP="001D74C6">
      <w:pPr>
        <w:pStyle w:val="CRCoverPage"/>
        <w:outlineLvl w:val="0"/>
        <w:rPr>
          <w:b/>
          <w:noProof/>
          <w:sz w:val="24"/>
        </w:rPr>
      </w:pPr>
      <w:bookmarkStart w:id="0" w:name="_Hlk512676175"/>
      <w:r>
        <w:rPr>
          <w:b/>
          <w:noProof/>
          <w:sz w:val="24"/>
        </w:rPr>
        <w:t>Busan</w:t>
      </w:r>
      <w:r w:rsidRPr="001B5F7A">
        <w:rPr>
          <w:b/>
          <w:noProof/>
          <w:sz w:val="24"/>
        </w:rPr>
        <w:t xml:space="preserve">, </w:t>
      </w:r>
      <w:r w:rsidR="00FB0D4C">
        <w:rPr>
          <w:b/>
          <w:noProof/>
          <w:sz w:val="24"/>
        </w:rPr>
        <w:t>Republic of</w:t>
      </w:r>
      <w:r>
        <w:rPr>
          <w:b/>
          <w:noProof/>
          <w:sz w:val="24"/>
        </w:rPr>
        <w:t xml:space="preserve"> Korea</w:t>
      </w:r>
      <w:r w:rsidRPr="001B5F7A">
        <w:rPr>
          <w:b/>
          <w:noProof/>
          <w:sz w:val="24"/>
        </w:rPr>
        <w:t xml:space="preserve">, </w:t>
      </w:r>
      <w:r>
        <w:rPr>
          <w:b/>
          <w:noProof/>
          <w:sz w:val="24"/>
        </w:rPr>
        <w:t>21</w:t>
      </w:r>
      <w:r w:rsidR="001F77BB">
        <w:rPr>
          <w:b/>
          <w:noProof/>
          <w:sz w:val="24"/>
        </w:rPr>
        <w:t>st</w:t>
      </w:r>
      <w:r w:rsidRPr="001B5F7A">
        <w:rPr>
          <w:b/>
          <w:noProof/>
          <w:sz w:val="24"/>
        </w:rPr>
        <w:t>-2</w:t>
      </w:r>
      <w:r>
        <w:rPr>
          <w:b/>
          <w:noProof/>
          <w:sz w:val="24"/>
        </w:rPr>
        <w:t>5</w:t>
      </w:r>
      <w:r w:rsidR="001F77BB">
        <w:rPr>
          <w:b/>
          <w:noProof/>
          <w:sz w:val="24"/>
        </w:rPr>
        <w:t>th</w:t>
      </w:r>
      <w:r w:rsidRPr="001B5F7A">
        <w:rPr>
          <w:b/>
          <w:noProof/>
          <w:sz w:val="24"/>
        </w:rPr>
        <w:t xml:space="preserve"> </w:t>
      </w:r>
      <w:bookmarkEnd w:id="0"/>
      <w:r w:rsidR="00032D39">
        <w:rPr>
          <w:b/>
          <w:noProof/>
          <w:sz w:val="24"/>
        </w:rPr>
        <w:t>May</w:t>
      </w:r>
      <w:r w:rsidR="00032D39" w:rsidRPr="001B5F7A">
        <w:rPr>
          <w:b/>
          <w:noProof/>
          <w:sz w:val="24"/>
        </w:rPr>
        <w:t xml:space="preserve"> </w:t>
      </w:r>
      <w:r>
        <w:rPr>
          <w:b/>
          <w:noProof/>
          <w:sz w:val="24"/>
        </w:rPr>
        <w:t>2018</w:t>
      </w:r>
    </w:p>
    <w:p w14:paraId="6D6942FE" w14:textId="77777777" w:rsidR="00E90E49" w:rsidRPr="00CE0424" w:rsidRDefault="00E90E49" w:rsidP="00357380">
      <w:pPr>
        <w:pStyle w:val="3GPPHeader"/>
      </w:pPr>
    </w:p>
    <w:p w14:paraId="7A3C0767" w14:textId="71E93BD8" w:rsidR="00E90E49" w:rsidRPr="00FA5FDE" w:rsidRDefault="00E90E49" w:rsidP="00311702">
      <w:pPr>
        <w:pStyle w:val="3GPPHeader"/>
        <w:rPr>
          <w:sz w:val="22"/>
          <w:szCs w:val="22"/>
          <w:lang w:val="en-US"/>
        </w:rPr>
      </w:pPr>
      <w:r w:rsidRPr="00FA5FDE">
        <w:rPr>
          <w:sz w:val="22"/>
          <w:szCs w:val="22"/>
          <w:lang w:val="en-US"/>
        </w:rPr>
        <w:t>Agenda Item:</w:t>
      </w:r>
      <w:r w:rsidRPr="00FA5FDE">
        <w:rPr>
          <w:sz w:val="22"/>
          <w:szCs w:val="22"/>
          <w:lang w:val="en-US"/>
        </w:rPr>
        <w:tab/>
      </w:r>
      <w:r w:rsidR="001E2AA8" w:rsidRPr="00390F49">
        <w:rPr>
          <w:sz w:val="22"/>
          <w:szCs w:val="22"/>
          <w:lang w:val="en-US"/>
        </w:rPr>
        <w:t>9.14.2</w:t>
      </w:r>
    </w:p>
    <w:p w14:paraId="6BF4E17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C79A2F7" w14:textId="3F73F3CC" w:rsidR="00E90E49" w:rsidRPr="00CE0424" w:rsidRDefault="003D3C45" w:rsidP="00311702">
      <w:pPr>
        <w:pStyle w:val="3GPPHeader"/>
        <w:rPr>
          <w:sz w:val="22"/>
          <w:szCs w:val="22"/>
        </w:rPr>
      </w:pPr>
      <w:r>
        <w:rPr>
          <w:sz w:val="22"/>
          <w:szCs w:val="22"/>
        </w:rPr>
        <w:t>Title:</w:t>
      </w:r>
      <w:r w:rsidR="00E90E49" w:rsidRPr="00CE0424">
        <w:rPr>
          <w:sz w:val="22"/>
          <w:szCs w:val="22"/>
        </w:rPr>
        <w:tab/>
      </w:r>
      <w:r w:rsidR="00834A20">
        <w:rPr>
          <w:sz w:val="22"/>
          <w:szCs w:val="22"/>
        </w:rPr>
        <w:t>Buffer Status Report Indication for Early Data Transmission</w:t>
      </w:r>
    </w:p>
    <w:p w14:paraId="516D9B65"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1E2AA8">
        <w:rPr>
          <w:sz w:val="22"/>
          <w:szCs w:val="22"/>
        </w:rPr>
        <w:t>Discussion, Decision</w:t>
      </w:r>
    </w:p>
    <w:p w14:paraId="385CABB5" w14:textId="00EE4235" w:rsidR="00C24345" w:rsidRDefault="00E90E49" w:rsidP="00A2052C">
      <w:pPr>
        <w:pStyle w:val="Heading1"/>
      </w:pPr>
      <w:r w:rsidRPr="00CE0424">
        <w:t>Introduction</w:t>
      </w:r>
    </w:p>
    <w:p w14:paraId="456D20AD" w14:textId="068B77A0" w:rsidR="00B5166E" w:rsidRDefault="00B5166E" w:rsidP="00BD3889">
      <w:pPr>
        <w:overflowPunct/>
        <w:autoSpaceDE/>
        <w:autoSpaceDN/>
        <w:adjustRightInd/>
        <w:spacing w:after="0"/>
        <w:jc w:val="left"/>
        <w:textAlignment w:val="auto"/>
        <w:rPr>
          <w:noProof/>
        </w:rPr>
      </w:pPr>
    </w:p>
    <w:p w14:paraId="2F78E262" w14:textId="37CEFAD7" w:rsidR="00B5166E" w:rsidRDefault="00834A20" w:rsidP="00BD3889">
      <w:pPr>
        <w:overflowPunct/>
        <w:autoSpaceDE/>
        <w:autoSpaceDN/>
        <w:adjustRightInd/>
        <w:spacing w:after="0"/>
        <w:jc w:val="left"/>
        <w:textAlignment w:val="auto"/>
        <w:rPr>
          <w:noProof/>
        </w:rPr>
      </w:pPr>
      <w:r>
        <w:rPr>
          <w:noProof/>
        </w:rPr>
        <w:t xml:space="preserve">For the WI-objective of </w:t>
      </w:r>
      <w:r w:rsidR="00B43FAE">
        <w:rPr>
          <w:noProof/>
        </w:rPr>
        <w:t>Early Data Transmission the following was agreed i</w:t>
      </w:r>
      <w:r>
        <w:rPr>
          <w:noProof/>
        </w:rPr>
        <w:t>n RAN2#101bis:</w:t>
      </w:r>
    </w:p>
    <w:p w14:paraId="213FB227" w14:textId="77777777" w:rsidR="00834A20" w:rsidRDefault="00834A20" w:rsidP="00BD3889">
      <w:pPr>
        <w:overflowPunct/>
        <w:autoSpaceDE/>
        <w:autoSpaceDN/>
        <w:adjustRightInd/>
        <w:spacing w:after="0"/>
        <w:jc w:val="left"/>
        <w:textAlignment w:val="auto"/>
        <w:rPr>
          <w:noProof/>
        </w:rPr>
      </w:pPr>
    </w:p>
    <w:p w14:paraId="7941B4F0" w14:textId="77777777" w:rsidR="00834A20" w:rsidRDefault="00834A20" w:rsidP="00834A20">
      <w:pPr>
        <w:pStyle w:val="Doc-text2"/>
        <w:tabs>
          <w:tab w:val="clear" w:pos="1622"/>
          <w:tab w:val="left" w:pos="1276"/>
        </w:tabs>
        <w:ind w:left="1276" w:hanging="17"/>
        <w:rPr>
          <w:b/>
        </w:rPr>
      </w:pPr>
      <w:r w:rsidRPr="009E2A90">
        <w:rPr>
          <w:b/>
        </w:rPr>
        <w:t xml:space="preserve">=&gt; </w:t>
      </w:r>
      <w:r>
        <w:rPr>
          <w:b/>
        </w:rPr>
        <w:t>If EDT has been triggered the UE shall not send BSR in Msg3, i.e. the eNB may assume that there is no data to follow in the UL, which means that BSR is equal to 0 implicitly.</w:t>
      </w:r>
    </w:p>
    <w:p w14:paraId="510AEE02" w14:textId="77777777" w:rsidR="00B43FAE" w:rsidRDefault="00B43FAE" w:rsidP="00BD3889">
      <w:pPr>
        <w:overflowPunct/>
        <w:autoSpaceDE/>
        <w:autoSpaceDN/>
        <w:adjustRightInd/>
        <w:spacing w:after="0"/>
        <w:jc w:val="left"/>
        <w:textAlignment w:val="auto"/>
        <w:rPr>
          <w:noProof/>
        </w:rPr>
      </w:pPr>
    </w:p>
    <w:p w14:paraId="43E17373" w14:textId="57A02A9E" w:rsidR="00834A20" w:rsidRDefault="00793A1F" w:rsidP="00BD3889">
      <w:pPr>
        <w:overflowPunct/>
        <w:autoSpaceDE/>
        <w:autoSpaceDN/>
        <w:adjustRightInd/>
        <w:spacing w:after="0"/>
        <w:jc w:val="left"/>
        <w:textAlignment w:val="auto"/>
        <w:rPr>
          <w:noProof/>
        </w:rPr>
      </w:pPr>
      <w:r>
        <w:rPr>
          <w:noProof/>
        </w:rPr>
        <w:t xml:space="preserve">3GPP normally standardizes as generic solutions as possible </w:t>
      </w:r>
      <w:r w:rsidR="008B42B3">
        <w:rPr>
          <w:noProof/>
        </w:rPr>
        <w:t xml:space="preserve">to make features generally beneficial also in other areas. In the case of the agreement above we are are concerned that this principle is not followed and that the agreement is unnecessarily limiting. In this contribution we will discuss ways to </w:t>
      </w:r>
      <w:r w:rsidR="00D44B19">
        <w:rPr>
          <w:noProof/>
        </w:rPr>
        <w:t>ensure a low collision rate on the EDT resources</w:t>
      </w:r>
      <w:r w:rsidR="00EA5EF2">
        <w:rPr>
          <w:noProof/>
        </w:rPr>
        <w:t>,</w:t>
      </w:r>
      <w:r w:rsidR="00D44B19">
        <w:rPr>
          <w:noProof/>
        </w:rPr>
        <w:t xml:space="preserve"> and </w:t>
      </w:r>
      <w:r w:rsidR="00EA5EF2">
        <w:rPr>
          <w:noProof/>
        </w:rPr>
        <w:t xml:space="preserve">preventing any mis-use, and at the same time a generic solution which will be future proof. </w:t>
      </w:r>
    </w:p>
    <w:p w14:paraId="24EB900F" w14:textId="59788E56" w:rsidR="004000E8" w:rsidRDefault="00C57CEC" w:rsidP="004B2C89">
      <w:pPr>
        <w:pStyle w:val="Heading1"/>
      </w:pPr>
      <w:bookmarkStart w:id="1" w:name="_Ref511996703"/>
      <w:r>
        <w:t>Discussion</w:t>
      </w:r>
      <w:bookmarkEnd w:id="1"/>
    </w:p>
    <w:p w14:paraId="29C8583A" w14:textId="7E2944BF" w:rsidR="00847B70" w:rsidRDefault="0096561B" w:rsidP="0082011F">
      <w:pPr>
        <w:pStyle w:val="Heading2"/>
      </w:pPr>
      <w:r>
        <w:t>EDT use with data size larger than max TBS</w:t>
      </w:r>
      <w:r w:rsidR="0082011F">
        <w:t xml:space="preserve"> </w:t>
      </w:r>
    </w:p>
    <w:p w14:paraId="0933FBE4" w14:textId="158BA868" w:rsidR="007F3A94" w:rsidRDefault="00181861" w:rsidP="00F108C0">
      <w:pPr>
        <w:rPr>
          <w:noProof/>
          <w:lang w:eastAsia="ko-KR"/>
        </w:rPr>
      </w:pPr>
      <w:r>
        <w:t xml:space="preserve">According to </w:t>
      </w:r>
      <w:r w:rsidR="006F6A0F">
        <w:t xml:space="preserve">an </w:t>
      </w:r>
      <w:r>
        <w:t xml:space="preserve">agreement </w:t>
      </w:r>
      <w:r w:rsidR="006F6A0F">
        <w:t>made in RAN2#</w:t>
      </w:r>
      <w:r w:rsidR="0011310A">
        <w:t>100</w:t>
      </w:r>
      <w:r>
        <w:t>, UEs that have more data in the UL data buffer that could fit</w:t>
      </w:r>
      <w:r w:rsidR="00D82A48">
        <w:t xml:space="preserve"> in </w:t>
      </w:r>
      <w:r w:rsidR="0031645F">
        <w:t>EDT Msg3 are not allowed to use EDT</w:t>
      </w:r>
      <w:r w:rsidR="00016BB2">
        <w:rPr>
          <w:noProof/>
          <w:lang w:eastAsia="ko-KR"/>
        </w:rPr>
        <w:t>.</w:t>
      </w:r>
    </w:p>
    <w:p w14:paraId="6AE9BA5A" w14:textId="77777777" w:rsidR="0011310A" w:rsidRPr="0011310A" w:rsidRDefault="0011310A" w:rsidP="00C27FA7">
      <w:pPr>
        <w:numPr>
          <w:ilvl w:val="0"/>
          <w:numId w:val="16"/>
        </w:numPr>
        <w:overflowPunct/>
        <w:autoSpaceDE/>
        <w:autoSpaceDN/>
        <w:adjustRightInd/>
        <w:ind w:left="714" w:hanging="357"/>
        <w:jc w:val="left"/>
        <w:textAlignment w:val="auto"/>
        <w:rPr>
          <w:rFonts w:eastAsia="MS Mincho" w:cs="Arial"/>
          <w:i/>
          <w:iCs/>
          <w:lang w:eastAsia="ja-JP"/>
        </w:rPr>
      </w:pPr>
      <w:r w:rsidRPr="0011310A">
        <w:rPr>
          <w:rFonts w:eastAsia="MS Mincho" w:cs="Arial"/>
          <w:i/>
          <w:iCs/>
          <w:lang w:eastAsia="ja-JP"/>
        </w:rPr>
        <w:t>The UE initiates EDT in Msg1 when the size of Msg3 including the user data, which UE intends to transmit, is equal or smaller than the maximum possible TBS size for Msg3 broadcast per CE.</w:t>
      </w:r>
    </w:p>
    <w:p w14:paraId="70DE34B3" w14:textId="490B3C07" w:rsidR="004249EF" w:rsidRDefault="0031645F" w:rsidP="00F108C0">
      <w:pPr>
        <w:rPr>
          <w:lang w:eastAsia="ko-KR"/>
        </w:rPr>
      </w:pPr>
      <w:r>
        <w:rPr>
          <w:noProof/>
          <w:lang w:eastAsia="ko-KR"/>
        </w:rPr>
        <w:t>However, if the EDT resources are not congested there would be no harm in doing so and there would be gains</w:t>
      </w:r>
      <w:r w:rsidR="00C27FA7">
        <w:rPr>
          <w:noProof/>
          <w:lang w:eastAsia="ko-KR"/>
        </w:rPr>
        <w:t xml:space="preserve"> also for UEs with data sizes larger than the max EDT TBS</w:t>
      </w:r>
      <w:r w:rsidR="00FF0703">
        <w:rPr>
          <w:noProof/>
          <w:lang w:eastAsia="ko-KR"/>
        </w:rPr>
        <w:t xml:space="preserve">. That is, </w:t>
      </w:r>
      <w:r w:rsidR="006B05EC">
        <w:rPr>
          <w:noProof/>
          <w:lang w:eastAsia="ko-KR"/>
        </w:rPr>
        <w:t>such that BSR&gt;0 for the Msg3 transmission.</w:t>
      </w:r>
      <w:r w:rsidR="00334A98">
        <w:rPr>
          <w:noProof/>
          <w:lang w:eastAsia="ko-KR"/>
        </w:rPr>
        <w:t xml:space="preserve"> </w:t>
      </w:r>
      <w:r w:rsidR="00CC656D">
        <w:rPr>
          <w:noProof/>
          <w:lang w:eastAsia="ko-KR"/>
        </w:rPr>
        <w:t>E</w:t>
      </w:r>
      <w:r w:rsidR="00334A98">
        <w:rPr>
          <w:noProof/>
          <w:lang w:eastAsia="ko-KR"/>
        </w:rPr>
        <w:t>.g.</w:t>
      </w:r>
      <w:r w:rsidR="00C27FA7">
        <w:rPr>
          <w:noProof/>
          <w:lang w:eastAsia="ko-KR"/>
        </w:rPr>
        <w:t>, a</w:t>
      </w:r>
      <w:r w:rsidR="00A14150">
        <w:rPr>
          <w:noProof/>
          <w:lang w:eastAsia="ko-KR"/>
        </w:rPr>
        <w:t xml:space="preserve"> UE with 1500 bits in the UL buffer would spend much less time and energy on the data enchange if it could start early</w:t>
      </w:r>
      <w:r w:rsidR="00C27FA7">
        <w:rPr>
          <w:noProof/>
          <w:lang w:eastAsia="ko-KR"/>
        </w:rPr>
        <w:t>, with noticable gains in power consumption and latency as a result</w:t>
      </w:r>
      <w:r w:rsidR="00A14150">
        <w:rPr>
          <w:noProof/>
          <w:lang w:eastAsia="ko-KR"/>
        </w:rPr>
        <w:t xml:space="preserve">. </w:t>
      </w:r>
      <w:r w:rsidR="00C27FA7">
        <w:rPr>
          <w:noProof/>
          <w:lang w:eastAsia="ko-KR"/>
        </w:rPr>
        <w:t xml:space="preserve">It would be straightforward to support this case by providing a 1 bit flag in SI. I.e., if it is not desired </w:t>
      </w:r>
      <w:r w:rsidR="007444EB">
        <w:rPr>
          <w:noProof/>
          <w:lang w:eastAsia="ko-KR"/>
        </w:rPr>
        <w:t>that UEs with data size larger than the max EDT TBS should be allowed to use the EDT for access, or if the load on the EDT preambles is high, this indication would simply not be set.</w:t>
      </w:r>
      <w:r w:rsidR="00532734">
        <w:rPr>
          <w:noProof/>
          <w:lang w:eastAsia="ko-KR"/>
        </w:rPr>
        <w:t xml:space="preserve"> This would provide as good protection for the network and the EDT resources, but at the same time provide a more generic and useful 3GPP feature.</w:t>
      </w:r>
      <w:r w:rsidR="004C1D08">
        <w:rPr>
          <w:noProof/>
          <w:lang w:eastAsia="ko-KR"/>
        </w:rPr>
        <w:t xml:space="preserve"> </w:t>
      </w:r>
      <w:r w:rsidR="00E26DCC">
        <w:rPr>
          <w:noProof/>
          <w:lang w:eastAsia="ko-KR"/>
        </w:rPr>
        <w:t>To ensure there is no additional effort for those not intere</w:t>
      </w:r>
      <w:r w:rsidR="005908C4">
        <w:rPr>
          <w:noProof/>
          <w:lang w:eastAsia="ko-KR"/>
        </w:rPr>
        <w:t>s</w:t>
      </w:r>
      <w:r w:rsidR="00E26DCC">
        <w:rPr>
          <w:noProof/>
          <w:lang w:eastAsia="ko-KR"/>
        </w:rPr>
        <w:t>ted is such functi</w:t>
      </w:r>
      <w:r w:rsidR="005908C4">
        <w:rPr>
          <w:noProof/>
          <w:lang w:eastAsia="ko-KR"/>
        </w:rPr>
        <w:t xml:space="preserve">onality, </w:t>
      </w:r>
      <w:r w:rsidR="004D47BE">
        <w:rPr>
          <w:noProof/>
          <w:lang w:eastAsia="ko-KR"/>
        </w:rPr>
        <w:t>this could be</w:t>
      </w:r>
      <w:r w:rsidR="004A2591">
        <w:rPr>
          <w:noProof/>
          <w:lang w:eastAsia="ko-KR"/>
        </w:rPr>
        <w:t xml:space="preserve"> an optional capability and if not implemented </w:t>
      </w:r>
      <w:r w:rsidR="008B4F69">
        <w:rPr>
          <w:noProof/>
          <w:lang w:eastAsia="ko-KR"/>
        </w:rPr>
        <w:t>BSR&gt;0 would not be allowed.</w:t>
      </w:r>
    </w:p>
    <w:p w14:paraId="1BD4D124" w14:textId="6ADC10CE" w:rsidR="00C517A1" w:rsidRPr="00FC30B5" w:rsidRDefault="00C517A1" w:rsidP="00C517A1">
      <w:pPr>
        <w:pStyle w:val="Observation"/>
        <w:rPr>
          <w:rFonts w:cs="Arial"/>
          <w:lang w:eastAsia="en-GB"/>
        </w:rPr>
      </w:pPr>
      <w:bookmarkStart w:id="2" w:name="_Toc511996709"/>
      <w:bookmarkStart w:id="3" w:name="_Toc513451123"/>
      <w:bookmarkStart w:id="4" w:name="_Toc513466827"/>
      <w:bookmarkStart w:id="5" w:name="_Toc513541735"/>
      <w:bookmarkStart w:id="6" w:name="_Toc513737236"/>
      <w:bookmarkStart w:id="7" w:name="_Toc513754182"/>
      <w:bookmarkStart w:id="8" w:name="_Toc513792067"/>
      <w:r>
        <w:t xml:space="preserve">EDT is beneficial </w:t>
      </w:r>
      <w:r w:rsidR="005A66E3">
        <w:t xml:space="preserve">also </w:t>
      </w:r>
      <w:r>
        <w:t xml:space="preserve">for UEs with </w:t>
      </w:r>
      <w:r w:rsidR="009370DA">
        <w:t>data size larger than the max EDT TBS</w:t>
      </w:r>
      <w:r>
        <w:t>.</w:t>
      </w:r>
      <w:bookmarkEnd w:id="2"/>
      <w:bookmarkEnd w:id="3"/>
      <w:bookmarkEnd w:id="4"/>
      <w:bookmarkEnd w:id="5"/>
      <w:bookmarkEnd w:id="6"/>
      <w:bookmarkEnd w:id="7"/>
      <w:bookmarkEnd w:id="8"/>
    </w:p>
    <w:p w14:paraId="03F1094A" w14:textId="07070CDC" w:rsidR="00FC30B5" w:rsidRPr="00E02DFF" w:rsidRDefault="00FC30B5" w:rsidP="00C517A1">
      <w:pPr>
        <w:pStyle w:val="Observation"/>
        <w:rPr>
          <w:rFonts w:cs="Arial"/>
          <w:lang w:eastAsia="en-GB"/>
        </w:rPr>
      </w:pPr>
      <w:bookmarkStart w:id="9" w:name="_Toc513737237"/>
      <w:bookmarkStart w:id="10" w:name="_Toc513754183"/>
      <w:bookmarkStart w:id="11" w:name="_Toc513792068"/>
      <w:r>
        <w:rPr>
          <w:rFonts w:cs="Arial"/>
          <w:lang w:eastAsia="en-GB"/>
        </w:rPr>
        <w:t>System resources are a n</w:t>
      </w:r>
      <w:r w:rsidR="00EC700C">
        <w:rPr>
          <w:rFonts w:cs="Arial"/>
          <w:lang w:eastAsia="en-GB"/>
        </w:rPr>
        <w:t xml:space="preserve">etwork concern and </w:t>
      </w:r>
      <w:r w:rsidR="00EB1886">
        <w:rPr>
          <w:rFonts w:cs="Arial"/>
          <w:lang w:eastAsia="en-GB"/>
        </w:rPr>
        <w:t xml:space="preserve">it is up to the network to handle the load on the EDT resources, e.g. by </w:t>
      </w:r>
      <w:r w:rsidR="00CF3C6C">
        <w:rPr>
          <w:rFonts w:cs="Arial"/>
          <w:lang w:eastAsia="en-GB"/>
        </w:rPr>
        <w:t xml:space="preserve">increases the EDT resources or </w:t>
      </w:r>
      <w:r w:rsidR="000542D7">
        <w:rPr>
          <w:rFonts w:cs="Arial"/>
          <w:lang w:eastAsia="en-GB"/>
        </w:rPr>
        <w:t>not letting UEs move to RRC_CONNECTED.</w:t>
      </w:r>
      <w:bookmarkEnd w:id="9"/>
      <w:bookmarkEnd w:id="10"/>
      <w:bookmarkEnd w:id="11"/>
    </w:p>
    <w:p w14:paraId="5C1E9206" w14:textId="744D984C" w:rsidR="00C517A1" w:rsidRPr="00C517A1" w:rsidRDefault="00C517A1" w:rsidP="00F108C0">
      <w:pPr>
        <w:pStyle w:val="Observation"/>
        <w:rPr>
          <w:rFonts w:cs="Arial"/>
          <w:lang w:eastAsia="en-GB"/>
        </w:rPr>
      </w:pPr>
      <w:bookmarkStart w:id="12" w:name="_Toc511996710"/>
      <w:bookmarkStart w:id="13" w:name="_Toc513451124"/>
      <w:bookmarkStart w:id="14" w:name="_Toc513466828"/>
      <w:bookmarkStart w:id="15" w:name="_Toc513541736"/>
      <w:bookmarkStart w:id="16" w:name="_Toc513737238"/>
      <w:bookmarkStart w:id="17" w:name="_Toc513754184"/>
      <w:bookmarkStart w:id="18" w:name="_Toc513792069"/>
      <w:r>
        <w:rPr>
          <w:rFonts w:cs="Arial"/>
          <w:lang w:eastAsia="en-GB"/>
        </w:rPr>
        <w:t xml:space="preserve">If eNB can indicate </w:t>
      </w:r>
      <w:r w:rsidR="000C728F">
        <w:rPr>
          <w:rFonts w:cs="Arial"/>
          <w:lang w:eastAsia="en-GB"/>
        </w:rPr>
        <w:t xml:space="preserve">in SI </w:t>
      </w:r>
      <w:r>
        <w:rPr>
          <w:rFonts w:cs="Arial"/>
          <w:lang w:eastAsia="en-GB"/>
        </w:rPr>
        <w:t xml:space="preserve">if use of EDT </w:t>
      </w:r>
      <w:r w:rsidR="0034005A">
        <w:rPr>
          <w:rFonts w:cs="Arial"/>
          <w:lang w:eastAsia="en-GB"/>
        </w:rPr>
        <w:t>with data size larger than max TBS</w:t>
      </w:r>
      <w:r w:rsidR="00F55B78">
        <w:rPr>
          <w:rFonts w:cs="Arial"/>
          <w:lang w:eastAsia="en-GB"/>
        </w:rPr>
        <w:t xml:space="preserve"> (</w:t>
      </w:r>
      <w:r>
        <w:rPr>
          <w:rFonts w:cs="Arial"/>
          <w:lang w:eastAsia="en-GB"/>
        </w:rPr>
        <w:t>BSR&gt;0</w:t>
      </w:r>
      <w:r w:rsidR="00F55B78">
        <w:rPr>
          <w:rFonts w:cs="Arial"/>
          <w:lang w:eastAsia="en-GB"/>
        </w:rPr>
        <w:t>) is allowed</w:t>
      </w:r>
      <w:r>
        <w:rPr>
          <w:rFonts w:cs="Arial"/>
          <w:lang w:eastAsia="en-GB"/>
        </w:rPr>
        <w:t xml:space="preserve"> or not, </w:t>
      </w:r>
      <w:r w:rsidR="000C728F">
        <w:rPr>
          <w:rFonts w:cs="Arial"/>
          <w:lang w:eastAsia="en-GB"/>
        </w:rPr>
        <w:t xml:space="preserve">it is ensured that </w:t>
      </w:r>
      <w:r>
        <w:rPr>
          <w:rFonts w:cs="Arial"/>
          <w:lang w:eastAsia="en-GB"/>
        </w:rPr>
        <w:t>the protection of network and EDT performance is as good as allowing BSR=0 only.</w:t>
      </w:r>
      <w:bookmarkEnd w:id="12"/>
      <w:bookmarkEnd w:id="13"/>
      <w:bookmarkEnd w:id="14"/>
      <w:bookmarkEnd w:id="15"/>
      <w:bookmarkEnd w:id="16"/>
      <w:bookmarkEnd w:id="17"/>
      <w:bookmarkEnd w:id="18"/>
    </w:p>
    <w:p w14:paraId="4994BE5F" w14:textId="16E1F498" w:rsidR="008B4F69" w:rsidRDefault="00E2183F" w:rsidP="00F108C0">
      <w:pPr>
        <w:pStyle w:val="Proposal"/>
        <w:rPr>
          <w:lang w:eastAsia="en-GB"/>
        </w:rPr>
      </w:pPr>
      <w:bookmarkStart w:id="19" w:name="_Toc511996711"/>
      <w:bookmarkStart w:id="20" w:name="_Toc513451127"/>
      <w:bookmarkStart w:id="21" w:name="_Toc513453653"/>
      <w:bookmarkStart w:id="22" w:name="_Toc513541740"/>
      <w:bookmarkStart w:id="23" w:name="_Toc513737241"/>
      <w:bookmarkStart w:id="24" w:name="_Toc513754187"/>
      <w:bookmarkStart w:id="25" w:name="_Toc513792072"/>
      <w:r>
        <w:rPr>
          <w:lang w:eastAsia="en-GB"/>
        </w:rPr>
        <w:lastRenderedPageBreak/>
        <w:t xml:space="preserve">eNB indicates </w:t>
      </w:r>
      <w:r w:rsidR="006A6D25">
        <w:rPr>
          <w:lang w:eastAsia="en-GB"/>
        </w:rPr>
        <w:t xml:space="preserve">in SI </w:t>
      </w:r>
      <w:r w:rsidR="00F55B78">
        <w:rPr>
          <w:rFonts w:cs="Arial"/>
          <w:lang w:eastAsia="en-GB"/>
        </w:rPr>
        <w:t xml:space="preserve">if use of EDT with data size larger than max TBS (BSR&gt;0) </w:t>
      </w:r>
      <w:r w:rsidR="001C74FC">
        <w:rPr>
          <w:lang w:eastAsia="en-GB"/>
        </w:rPr>
        <w:t xml:space="preserve">is allowed in the cell </w:t>
      </w:r>
      <w:r>
        <w:rPr>
          <w:lang w:eastAsia="en-GB"/>
        </w:rPr>
        <w:t>or not.</w:t>
      </w:r>
      <w:bookmarkEnd w:id="19"/>
      <w:bookmarkEnd w:id="20"/>
      <w:bookmarkEnd w:id="21"/>
      <w:bookmarkEnd w:id="22"/>
      <w:bookmarkEnd w:id="23"/>
      <w:bookmarkEnd w:id="24"/>
      <w:bookmarkEnd w:id="25"/>
    </w:p>
    <w:p w14:paraId="09D2C0E3" w14:textId="4502549D" w:rsidR="00E2183F" w:rsidRDefault="008B4F69" w:rsidP="00F108C0">
      <w:pPr>
        <w:pStyle w:val="Proposal"/>
        <w:rPr>
          <w:lang w:eastAsia="en-GB"/>
        </w:rPr>
      </w:pPr>
      <w:bookmarkStart w:id="26" w:name="_Toc513737242"/>
      <w:bookmarkStart w:id="27" w:name="_Toc513754188"/>
      <w:bookmarkStart w:id="28" w:name="_Toc513792073"/>
      <w:r>
        <w:rPr>
          <w:lang w:eastAsia="en-GB"/>
        </w:rPr>
        <w:t>The indicat</w:t>
      </w:r>
      <w:r w:rsidR="00DF7225">
        <w:rPr>
          <w:lang w:eastAsia="en-GB"/>
        </w:rPr>
        <w:t>ion would be optional</w:t>
      </w:r>
      <w:r w:rsidR="00B25C79">
        <w:rPr>
          <w:lang w:eastAsia="en-GB"/>
        </w:rPr>
        <w:t xml:space="preserve">, and if not present in SI or supported by the UE, </w:t>
      </w:r>
      <w:r w:rsidR="00523FF2">
        <w:rPr>
          <w:lang w:eastAsia="en-GB"/>
        </w:rPr>
        <w:t>BSR&gt;0 would not be allowed.</w:t>
      </w:r>
      <w:bookmarkEnd w:id="26"/>
      <w:bookmarkEnd w:id="27"/>
      <w:bookmarkEnd w:id="28"/>
    </w:p>
    <w:p w14:paraId="157D3FE1" w14:textId="77777777" w:rsidR="00207F5B" w:rsidRDefault="00207F5B" w:rsidP="00F108C0">
      <w:pPr>
        <w:rPr>
          <w:noProof/>
          <w:lang w:eastAsia="ko-KR"/>
        </w:rPr>
      </w:pPr>
    </w:p>
    <w:p w14:paraId="378F1437" w14:textId="77777777" w:rsidR="0082011F" w:rsidRDefault="0082011F" w:rsidP="00F108C0">
      <w:pPr>
        <w:rPr>
          <w:noProof/>
          <w:lang w:eastAsia="ko-KR"/>
        </w:rPr>
      </w:pPr>
    </w:p>
    <w:p w14:paraId="01775C20" w14:textId="074E88A0" w:rsidR="0082011F" w:rsidRDefault="0082011F" w:rsidP="0082011F">
      <w:pPr>
        <w:pStyle w:val="Heading2"/>
        <w:rPr>
          <w:noProof/>
          <w:lang w:eastAsia="ko-KR"/>
        </w:rPr>
      </w:pPr>
      <w:r>
        <w:rPr>
          <w:noProof/>
          <w:lang w:eastAsia="ko-KR"/>
        </w:rPr>
        <w:t>Inclusion of BSR i</w:t>
      </w:r>
      <w:r w:rsidR="003F0C85">
        <w:rPr>
          <w:noProof/>
          <w:lang w:eastAsia="ko-KR"/>
        </w:rPr>
        <w:t>n</w:t>
      </w:r>
      <w:r>
        <w:rPr>
          <w:noProof/>
          <w:lang w:eastAsia="ko-KR"/>
        </w:rPr>
        <w:t xml:space="preserve"> Msg3</w:t>
      </w:r>
    </w:p>
    <w:p w14:paraId="5C75952D" w14:textId="6AB91D01" w:rsidR="00DE6BBD" w:rsidRDefault="00D3256A" w:rsidP="006D1045">
      <w:pPr>
        <w:rPr>
          <w:noProof/>
          <w:lang w:eastAsia="ko-KR"/>
        </w:rPr>
      </w:pPr>
      <w:r>
        <w:rPr>
          <w:noProof/>
          <w:lang w:eastAsia="ko-KR"/>
        </w:rPr>
        <w:t xml:space="preserve">Secondly the agreement quoted in the introduction on implicitly assuming BSR=0 introduces further unnecessary issues. </w:t>
      </w:r>
    </w:p>
    <w:p w14:paraId="319913F7" w14:textId="0ADC85F2" w:rsidR="00207F5B" w:rsidRDefault="001D7E9E" w:rsidP="00F108C0">
      <w:pPr>
        <w:rPr>
          <w:noProof/>
          <w:lang w:eastAsia="ko-KR"/>
        </w:rPr>
      </w:pPr>
      <w:r>
        <w:rPr>
          <w:noProof/>
          <w:lang w:eastAsia="ko-KR"/>
        </w:rPr>
        <w:t>E</w:t>
      </w:r>
      <w:r w:rsidR="002F7855">
        <w:rPr>
          <w:noProof/>
          <w:lang w:eastAsia="ko-KR"/>
        </w:rPr>
        <w:t xml:space="preserve">xplicitly </w:t>
      </w:r>
      <w:r w:rsidR="00207F5B">
        <w:rPr>
          <w:noProof/>
          <w:lang w:eastAsia="ko-KR"/>
        </w:rPr>
        <w:t>removing the B</w:t>
      </w:r>
      <w:r w:rsidR="002F7855">
        <w:rPr>
          <w:noProof/>
          <w:lang w:eastAsia="ko-KR"/>
        </w:rPr>
        <w:t xml:space="preserve">SR does not really serve a purpose as e.g. </w:t>
      </w:r>
      <w:r w:rsidR="00E57786">
        <w:rPr>
          <w:noProof/>
          <w:lang w:eastAsia="ko-KR"/>
        </w:rPr>
        <w:t>16</w:t>
      </w:r>
      <w:r w:rsidR="002F7855">
        <w:rPr>
          <w:noProof/>
          <w:lang w:eastAsia="ko-KR"/>
        </w:rPr>
        <w:t xml:space="preserve"> bits out of 1000 bits are saved (assuming short BSR and max EDT TBS supported). I</w:t>
      </w:r>
      <w:r w:rsidR="005B4A9E">
        <w:rPr>
          <w:noProof/>
          <w:lang w:eastAsia="ko-KR"/>
        </w:rPr>
        <w:t>t</w:t>
      </w:r>
      <w:r w:rsidR="002F7855">
        <w:rPr>
          <w:noProof/>
          <w:lang w:eastAsia="ko-KR"/>
        </w:rPr>
        <w:t xml:space="preserve"> would </w:t>
      </w:r>
      <w:r w:rsidR="000A723E">
        <w:rPr>
          <w:noProof/>
          <w:lang w:eastAsia="ko-KR"/>
        </w:rPr>
        <w:t xml:space="preserve">only </w:t>
      </w:r>
      <w:r w:rsidR="002F7855">
        <w:rPr>
          <w:noProof/>
          <w:lang w:eastAsia="ko-KR"/>
        </w:rPr>
        <w:t xml:space="preserve">introduce </w:t>
      </w:r>
      <w:r w:rsidR="000A723E">
        <w:rPr>
          <w:noProof/>
          <w:lang w:eastAsia="ko-KR"/>
        </w:rPr>
        <w:t>a larger specification impact and possible unfor</w:t>
      </w:r>
      <w:r w:rsidR="003548FE">
        <w:rPr>
          <w:noProof/>
          <w:lang w:eastAsia="ko-KR"/>
        </w:rPr>
        <w:t>e</w:t>
      </w:r>
      <w:r w:rsidR="000A723E">
        <w:rPr>
          <w:noProof/>
          <w:lang w:eastAsia="ko-KR"/>
        </w:rPr>
        <w:t>seen error cases.</w:t>
      </w:r>
    </w:p>
    <w:p w14:paraId="0717B330" w14:textId="0680A81F" w:rsidR="00993A21" w:rsidRDefault="00993A21" w:rsidP="00993A21">
      <w:pPr>
        <w:pStyle w:val="Observation"/>
        <w:rPr>
          <w:noProof/>
          <w:lang w:eastAsia="ko-KR"/>
        </w:rPr>
      </w:pPr>
      <w:bookmarkStart w:id="29" w:name="_Toc513451126"/>
      <w:bookmarkStart w:id="30" w:name="_Toc513466830"/>
      <w:bookmarkStart w:id="31" w:name="_Toc513541738"/>
      <w:bookmarkStart w:id="32" w:name="_Toc513737239"/>
      <w:bookmarkStart w:id="33" w:name="_Toc513754185"/>
      <w:bookmarkStart w:id="34" w:name="_Toc513792070"/>
      <w:r>
        <w:rPr>
          <w:noProof/>
          <w:lang w:eastAsia="ko-KR"/>
        </w:rPr>
        <w:t>Explicitly removing the Msg3 BSR does not provide any gain and only results in larger specification impact and the possible introduction of errors.</w:t>
      </w:r>
      <w:bookmarkEnd w:id="29"/>
      <w:bookmarkEnd w:id="30"/>
      <w:bookmarkEnd w:id="31"/>
      <w:bookmarkEnd w:id="32"/>
      <w:bookmarkEnd w:id="33"/>
      <w:bookmarkEnd w:id="34"/>
    </w:p>
    <w:p w14:paraId="10BE6EC1" w14:textId="139556E7" w:rsidR="00993A21" w:rsidRDefault="00E16BF6" w:rsidP="00AA353F">
      <w:pPr>
        <w:rPr>
          <w:noProof/>
          <w:lang w:eastAsia="ko-KR"/>
        </w:rPr>
      </w:pPr>
      <w:r>
        <w:rPr>
          <w:noProof/>
          <w:lang w:eastAsia="ko-KR"/>
        </w:rPr>
        <w:t xml:space="preserve">If the </w:t>
      </w:r>
      <w:r w:rsidR="00796577">
        <w:rPr>
          <w:noProof/>
          <w:lang w:eastAsia="ko-KR"/>
        </w:rPr>
        <w:t xml:space="preserve">optional </w:t>
      </w:r>
      <w:r>
        <w:rPr>
          <w:noProof/>
          <w:lang w:eastAsia="ko-KR"/>
        </w:rPr>
        <w:t>use of EDT is</w:t>
      </w:r>
      <w:r w:rsidR="00796577">
        <w:rPr>
          <w:noProof/>
          <w:lang w:eastAsia="ko-KR"/>
        </w:rPr>
        <w:t xml:space="preserve"> indicated in SI as proposed in Proposal 1</w:t>
      </w:r>
      <w:r w:rsidR="00E10A03">
        <w:rPr>
          <w:noProof/>
          <w:lang w:eastAsia="ko-KR"/>
        </w:rPr>
        <w:t>, it is valu</w:t>
      </w:r>
      <w:r w:rsidR="00135332">
        <w:rPr>
          <w:noProof/>
          <w:lang w:eastAsia="ko-KR"/>
        </w:rPr>
        <w:t>able to provide the BSR to eNB.</w:t>
      </w:r>
      <w:r>
        <w:rPr>
          <w:noProof/>
          <w:lang w:eastAsia="ko-KR"/>
        </w:rPr>
        <w:t xml:space="preserve"> </w:t>
      </w:r>
      <w:r w:rsidR="00135332">
        <w:rPr>
          <w:noProof/>
          <w:lang w:eastAsia="ko-KR"/>
        </w:rPr>
        <w:t>Therefore</w:t>
      </w:r>
      <w:r w:rsidR="00AA353F">
        <w:rPr>
          <w:noProof/>
          <w:lang w:eastAsia="ko-KR"/>
        </w:rPr>
        <w:t>, we propose the following.</w:t>
      </w:r>
    </w:p>
    <w:p w14:paraId="09A69178" w14:textId="4A7E7978" w:rsidR="00E2183F" w:rsidRDefault="00E2183F" w:rsidP="00E2183F">
      <w:pPr>
        <w:pStyle w:val="Proposal"/>
        <w:rPr>
          <w:noProof/>
          <w:lang w:eastAsia="ko-KR"/>
        </w:rPr>
      </w:pPr>
      <w:bookmarkStart w:id="35" w:name="_Toc513451128"/>
      <w:bookmarkStart w:id="36" w:name="_Toc513453654"/>
      <w:bookmarkStart w:id="37" w:name="_Toc513541741"/>
      <w:bookmarkStart w:id="38" w:name="_Toc513737243"/>
      <w:bookmarkStart w:id="39" w:name="_Toc513754189"/>
      <w:bookmarkStart w:id="40" w:name="_Toc513792074"/>
      <w:r>
        <w:rPr>
          <w:noProof/>
          <w:lang w:eastAsia="ko-KR"/>
        </w:rPr>
        <w:t xml:space="preserve">BSR </w:t>
      </w:r>
      <w:r w:rsidR="00993A21">
        <w:rPr>
          <w:noProof/>
          <w:lang w:eastAsia="ko-KR"/>
        </w:rPr>
        <w:t xml:space="preserve">is </w:t>
      </w:r>
      <w:r w:rsidR="00792BEC">
        <w:rPr>
          <w:noProof/>
          <w:lang w:eastAsia="ko-KR"/>
        </w:rPr>
        <w:t xml:space="preserve">generated </w:t>
      </w:r>
      <w:r w:rsidR="002921AC">
        <w:rPr>
          <w:noProof/>
          <w:lang w:eastAsia="ko-KR"/>
        </w:rPr>
        <w:t>for</w:t>
      </w:r>
      <w:r>
        <w:rPr>
          <w:noProof/>
          <w:lang w:eastAsia="ko-KR"/>
        </w:rPr>
        <w:t xml:space="preserve"> EDT Msg3</w:t>
      </w:r>
      <w:r w:rsidR="00AA353F">
        <w:rPr>
          <w:noProof/>
          <w:lang w:eastAsia="ko-KR"/>
        </w:rPr>
        <w:t xml:space="preserve"> and it is left to eNB implementation if the UEs moved to RRC_CONNECTED for the tran</w:t>
      </w:r>
      <w:r w:rsidR="00BE4A6A">
        <w:rPr>
          <w:noProof/>
          <w:lang w:eastAsia="ko-KR"/>
        </w:rPr>
        <w:t>s</w:t>
      </w:r>
      <w:r w:rsidR="00AA353F">
        <w:rPr>
          <w:noProof/>
          <w:lang w:eastAsia="ko-KR"/>
        </w:rPr>
        <w:t>mission of remaining data if BSR&gt;0.</w:t>
      </w:r>
      <w:bookmarkEnd w:id="35"/>
      <w:bookmarkEnd w:id="36"/>
      <w:bookmarkEnd w:id="37"/>
      <w:bookmarkEnd w:id="38"/>
      <w:bookmarkEnd w:id="39"/>
      <w:bookmarkEnd w:id="40"/>
    </w:p>
    <w:p w14:paraId="06665BD2" w14:textId="39588A75" w:rsidR="00FD049A" w:rsidRDefault="005A04D1" w:rsidP="00FD049A">
      <w:r>
        <w:t xml:space="preserve">Note that this solution would not have any loss of generality and if </w:t>
      </w:r>
      <w:r w:rsidR="007955E5">
        <w:t xml:space="preserve">not desired eNB would be </w:t>
      </w:r>
      <w:r w:rsidR="0062731D">
        <w:t>configured</w:t>
      </w:r>
      <w:r w:rsidR="007955E5">
        <w:t xml:space="preserve"> to never allow UEs to continue to RRC_CONNECTED when using EDT.</w:t>
      </w:r>
      <w:bookmarkStart w:id="41" w:name="_Toc511994403"/>
      <w:bookmarkEnd w:id="41"/>
    </w:p>
    <w:p w14:paraId="46DE55E1" w14:textId="1E64C038" w:rsidR="00AC0DCD" w:rsidRDefault="00AC0DCD" w:rsidP="00FD049A"/>
    <w:p w14:paraId="1A2ED3B3" w14:textId="10368E17" w:rsidR="00AC0DCD" w:rsidRDefault="00AC0DCD" w:rsidP="00AC0DCD">
      <w:pPr>
        <w:pStyle w:val="Heading2"/>
      </w:pPr>
      <w:r>
        <w:t>Use of BSR and DPR</w:t>
      </w:r>
    </w:p>
    <w:p w14:paraId="17F5C340" w14:textId="51527E6F" w:rsidR="00AC0DCD" w:rsidRDefault="00AC0DCD" w:rsidP="00FD049A">
      <w:r>
        <w:t>A remaining aspect</w:t>
      </w:r>
      <w:r w:rsidR="00863C28">
        <w:t xml:space="preserve"> </w:t>
      </w:r>
      <w:r w:rsidR="00035D61">
        <w:t xml:space="preserve">is how BSR and DPR will work. According to </w:t>
      </w:r>
      <w:r w:rsidR="001E0D78">
        <w:t xml:space="preserve">the ongoing email discussion on changes for EDT </w:t>
      </w:r>
      <w:r w:rsidR="00577FAA">
        <w:fldChar w:fldCharType="begin"/>
      </w:r>
      <w:r w:rsidR="00577FAA">
        <w:instrText xml:space="preserve"> REF _Ref513466013 \r \h </w:instrText>
      </w:r>
      <w:r w:rsidR="00577FAA">
        <w:fldChar w:fldCharType="separate"/>
      </w:r>
      <w:r w:rsidR="00577FAA">
        <w:t>[5]</w:t>
      </w:r>
      <w:r w:rsidR="00577FAA">
        <w:fldChar w:fldCharType="end"/>
      </w:r>
      <w:r w:rsidR="00577FAA">
        <w:t xml:space="preserve"> and the agreement in the introduction, BSR is </w:t>
      </w:r>
      <w:r w:rsidR="008F3BEE">
        <w:t xml:space="preserve">not </w:t>
      </w:r>
      <w:r w:rsidR="00C90DCA">
        <w:t>transmitted</w:t>
      </w:r>
      <w:r w:rsidR="00577FAA">
        <w:t xml:space="preserve"> </w:t>
      </w:r>
      <w:r w:rsidR="00842946">
        <w:t>if pending</w:t>
      </w:r>
      <w:r w:rsidR="008C4023">
        <w:t>/</w:t>
      </w:r>
      <w:r w:rsidR="0071084C">
        <w:t xml:space="preserve">triggered </w:t>
      </w:r>
      <w:r w:rsidR="00577FAA">
        <w:t xml:space="preserve">when EDT is used. </w:t>
      </w:r>
      <w:r w:rsidR="00103371">
        <w:t>Since the priority for logical channels is the following according to 36.321:</w:t>
      </w:r>
    </w:p>
    <w:p w14:paraId="724C0190" w14:textId="77777777" w:rsidR="005E2AB4" w:rsidRPr="005E2AB4" w:rsidRDefault="005E2AB4" w:rsidP="005E2AB4">
      <w:pPr>
        <w:spacing w:after="180"/>
        <w:ind w:left="284"/>
        <w:jc w:val="left"/>
        <w:textAlignment w:val="auto"/>
        <w:rPr>
          <w:rFonts w:ascii="Times New Roman" w:hAnsi="Times New Roman"/>
          <w:lang w:eastAsia="ja-JP"/>
        </w:rPr>
      </w:pPr>
      <w:r w:rsidRPr="005E2AB4">
        <w:rPr>
          <w:rFonts w:ascii="Times New Roman" w:hAnsi="Times New Roman"/>
          <w:noProof/>
          <w:lang w:eastAsia="ja-JP"/>
        </w:rPr>
        <w:t>For the Logical Channel Prioritization procedure, the MAC entity shall take into account the following relative priority in decreasing order:</w:t>
      </w:r>
    </w:p>
    <w:p w14:paraId="68E4E1A1" w14:textId="77777777" w:rsidR="005E2AB4" w:rsidRPr="005E2AB4" w:rsidRDefault="005E2AB4" w:rsidP="005E2AB4">
      <w:pPr>
        <w:spacing w:after="180"/>
        <w:ind w:left="852" w:hanging="284"/>
        <w:jc w:val="left"/>
        <w:textAlignment w:val="auto"/>
        <w:rPr>
          <w:rFonts w:ascii="Times New Roman" w:hAnsi="Times New Roman"/>
          <w:noProof/>
          <w:lang w:eastAsia="ja-JP"/>
        </w:rPr>
      </w:pPr>
      <w:r w:rsidRPr="005E2AB4">
        <w:rPr>
          <w:rFonts w:ascii="Times New Roman" w:hAnsi="Times New Roman"/>
          <w:noProof/>
          <w:lang w:eastAsia="ja-JP"/>
        </w:rPr>
        <w:t>-</w:t>
      </w:r>
      <w:r w:rsidRPr="005E2AB4">
        <w:rPr>
          <w:rFonts w:ascii="Times New Roman" w:hAnsi="Times New Roman"/>
          <w:noProof/>
          <w:lang w:eastAsia="ja-JP"/>
        </w:rPr>
        <w:tab/>
        <w:t>MAC control element for C-RNTI or data from UL-CCCH;</w:t>
      </w:r>
    </w:p>
    <w:p w14:paraId="2FB0C21E" w14:textId="77777777" w:rsidR="005E2AB4" w:rsidRPr="005E2AB4" w:rsidRDefault="005E2AB4" w:rsidP="005E2AB4">
      <w:pPr>
        <w:spacing w:after="180"/>
        <w:ind w:left="852" w:hanging="284"/>
        <w:jc w:val="left"/>
        <w:textAlignment w:val="auto"/>
        <w:rPr>
          <w:rFonts w:ascii="Times New Roman" w:hAnsi="Times New Roman"/>
          <w:noProof/>
          <w:lang w:eastAsia="ja-JP"/>
        </w:rPr>
      </w:pPr>
      <w:r w:rsidRPr="005E2AB4">
        <w:rPr>
          <w:rFonts w:ascii="Times New Roman" w:hAnsi="Times New Roman"/>
          <w:noProof/>
          <w:lang w:eastAsia="ja-JP"/>
        </w:rPr>
        <w:t>-</w:t>
      </w:r>
      <w:r w:rsidRPr="005E2AB4">
        <w:rPr>
          <w:rFonts w:ascii="Times New Roman" w:hAnsi="Times New Roman"/>
          <w:noProof/>
          <w:lang w:eastAsia="ja-JP"/>
        </w:rPr>
        <w:tab/>
      </w:r>
      <w:r w:rsidRPr="005E2AB4">
        <w:rPr>
          <w:rFonts w:ascii="Times New Roman" w:hAnsi="Times New Roman"/>
          <w:noProof/>
          <w:highlight w:val="yellow"/>
          <w:lang w:eastAsia="ja-JP"/>
        </w:rPr>
        <w:t>MAC control element for DPR;</w:t>
      </w:r>
    </w:p>
    <w:p w14:paraId="2B13D091" w14:textId="77777777" w:rsidR="005E2AB4" w:rsidRPr="005E2AB4" w:rsidRDefault="005E2AB4" w:rsidP="005E2AB4">
      <w:pPr>
        <w:spacing w:after="180"/>
        <w:ind w:left="852" w:hanging="284"/>
        <w:jc w:val="left"/>
        <w:textAlignment w:val="auto"/>
        <w:rPr>
          <w:rFonts w:ascii="Times New Roman" w:hAnsi="Times New Roman"/>
          <w:noProof/>
          <w:lang w:eastAsia="ja-JP"/>
        </w:rPr>
      </w:pPr>
      <w:r w:rsidRPr="005E2AB4">
        <w:rPr>
          <w:rFonts w:ascii="Times New Roman" w:hAnsi="Times New Roman"/>
          <w:noProof/>
          <w:lang w:eastAsia="ja-JP"/>
        </w:rPr>
        <w:t>-</w:t>
      </w:r>
      <w:r w:rsidRPr="005E2AB4">
        <w:rPr>
          <w:rFonts w:ascii="Times New Roman" w:hAnsi="Times New Roman"/>
          <w:noProof/>
          <w:lang w:eastAsia="ja-JP"/>
        </w:rPr>
        <w:tab/>
        <w:t>MAC control element for SPS confirmation;</w:t>
      </w:r>
    </w:p>
    <w:p w14:paraId="32351215" w14:textId="77777777" w:rsidR="005E2AB4" w:rsidRPr="005E2AB4" w:rsidRDefault="005E2AB4" w:rsidP="005E2AB4">
      <w:pPr>
        <w:spacing w:after="180"/>
        <w:ind w:left="852" w:hanging="284"/>
        <w:jc w:val="left"/>
        <w:textAlignment w:val="auto"/>
        <w:rPr>
          <w:rFonts w:ascii="Times New Roman" w:hAnsi="Times New Roman"/>
          <w:noProof/>
          <w:lang w:eastAsia="ja-JP"/>
        </w:rPr>
      </w:pPr>
      <w:r w:rsidRPr="005E2AB4">
        <w:rPr>
          <w:rFonts w:ascii="Times New Roman" w:hAnsi="Times New Roman"/>
          <w:noProof/>
          <w:lang w:eastAsia="ja-JP"/>
        </w:rPr>
        <w:t>-</w:t>
      </w:r>
      <w:r w:rsidRPr="005E2AB4">
        <w:rPr>
          <w:rFonts w:ascii="Times New Roman" w:hAnsi="Times New Roman"/>
          <w:noProof/>
          <w:lang w:eastAsia="ja-JP"/>
        </w:rPr>
        <w:tab/>
      </w:r>
      <w:r w:rsidRPr="005E2AB4">
        <w:rPr>
          <w:rFonts w:ascii="Times New Roman" w:hAnsi="Times New Roman"/>
          <w:noProof/>
          <w:highlight w:val="yellow"/>
          <w:lang w:eastAsia="ja-JP"/>
        </w:rPr>
        <w:t>MAC control element for BSR, with exception of BSR included for padding</w:t>
      </w:r>
      <w:r w:rsidRPr="005E2AB4">
        <w:rPr>
          <w:rFonts w:ascii="Times New Roman" w:hAnsi="Times New Roman"/>
          <w:noProof/>
          <w:lang w:eastAsia="ja-JP"/>
        </w:rPr>
        <w:t>;</w:t>
      </w:r>
    </w:p>
    <w:p w14:paraId="39038D71" w14:textId="77777777" w:rsidR="005E2AB4" w:rsidRPr="005E2AB4" w:rsidRDefault="005E2AB4" w:rsidP="005E2AB4">
      <w:pPr>
        <w:spacing w:after="180"/>
        <w:ind w:left="852" w:hanging="284"/>
        <w:jc w:val="left"/>
        <w:textAlignment w:val="auto"/>
        <w:rPr>
          <w:rFonts w:ascii="Times New Roman" w:hAnsi="Times New Roman"/>
          <w:noProof/>
          <w:lang w:eastAsia="ja-JP"/>
        </w:rPr>
      </w:pPr>
      <w:r w:rsidRPr="005E2AB4">
        <w:rPr>
          <w:rFonts w:ascii="Times New Roman" w:hAnsi="Times New Roman"/>
          <w:noProof/>
          <w:lang w:eastAsia="ja-JP"/>
        </w:rPr>
        <w:t>-</w:t>
      </w:r>
      <w:r w:rsidRPr="005E2AB4">
        <w:rPr>
          <w:rFonts w:ascii="Times New Roman" w:hAnsi="Times New Roman"/>
          <w:noProof/>
          <w:lang w:eastAsia="ja-JP"/>
        </w:rPr>
        <w:tab/>
        <w:t>MAC control element for PHR, Extended PHR, or Dual Connectivity PHR;</w:t>
      </w:r>
    </w:p>
    <w:p w14:paraId="5855EB69" w14:textId="77777777" w:rsidR="005E2AB4" w:rsidRPr="005E2AB4" w:rsidRDefault="005E2AB4" w:rsidP="005E2AB4">
      <w:pPr>
        <w:spacing w:after="180"/>
        <w:ind w:left="852" w:hanging="284"/>
        <w:jc w:val="left"/>
        <w:textAlignment w:val="auto"/>
        <w:rPr>
          <w:rFonts w:ascii="Times New Roman" w:hAnsi="Times New Roman"/>
          <w:noProof/>
          <w:lang w:eastAsia="ja-JP"/>
        </w:rPr>
      </w:pPr>
      <w:r w:rsidRPr="005E2AB4">
        <w:rPr>
          <w:rFonts w:ascii="Times New Roman" w:hAnsi="Times New Roman"/>
          <w:noProof/>
          <w:lang w:eastAsia="ja-JP"/>
        </w:rPr>
        <w:t>-</w:t>
      </w:r>
      <w:r w:rsidRPr="005E2AB4">
        <w:rPr>
          <w:rFonts w:ascii="Times New Roman" w:hAnsi="Times New Roman"/>
          <w:noProof/>
          <w:lang w:eastAsia="ja-JP"/>
        </w:rPr>
        <w:tab/>
        <w:t>MAC control element for Sidelink BSR, with exception of Sidelink BSR included for padding;</w:t>
      </w:r>
    </w:p>
    <w:p w14:paraId="7335004C" w14:textId="77777777" w:rsidR="005E2AB4" w:rsidRPr="005E2AB4" w:rsidRDefault="005E2AB4" w:rsidP="005E2AB4">
      <w:pPr>
        <w:spacing w:after="180"/>
        <w:ind w:left="852" w:hanging="284"/>
        <w:jc w:val="left"/>
        <w:textAlignment w:val="auto"/>
        <w:rPr>
          <w:rFonts w:ascii="Times New Roman" w:hAnsi="Times New Roman"/>
          <w:noProof/>
          <w:lang w:eastAsia="ja-JP"/>
        </w:rPr>
      </w:pPr>
      <w:r w:rsidRPr="005E2AB4">
        <w:rPr>
          <w:rFonts w:ascii="Times New Roman" w:hAnsi="Times New Roman"/>
          <w:noProof/>
          <w:lang w:eastAsia="ja-JP"/>
        </w:rPr>
        <w:t>-</w:t>
      </w:r>
      <w:r w:rsidRPr="005E2AB4">
        <w:rPr>
          <w:rFonts w:ascii="Times New Roman" w:hAnsi="Times New Roman"/>
          <w:noProof/>
          <w:lang w:eastAsia="ja-JP"/>
        </w:rPr>
        <w:tab/>
        <w:t>data from any Logical Channel, except data from UL-CCCH;</w:t>
      </w:r>
    </w:p>
    <w:p w14:paraId="535945B1" w14:textId="77777777" w:rsidR="005E2AB4" w:rsidRPr="005E2AB4" w:rsidRDefault="005E2AB4" w:rsidP="005E2AB4">
      <w:pPr>
        <w:spacing w:after="180"/>
        <w:ind w:left="852" w:hanging="284"/>
        <w:jc w:val="left"/>
        <w:textAlignment w:val="auto"/>
        <w:rPr>
          <w:rFonts w:ascii="Times New Roman" w:hAnsi="Times New Roman"/>
          <w:lang w:eastAsia="ja-JP"/>
        </w:rPr>
      </w:pPr>
      <w:r w:rsidRPr="005E2AB4">
        <w:rPr>
          <w:rFonts w:ascii="Times New Roman" w:hAnsi="Times New Roman"/>
          <w:lang w:eastAsia="ja-JP"/>
        </w:rPr>
        <w:t>-</w:t>
      </w:r>
      <w:r w:rsidRPr="005E2AB4">
        <w:rPr>
          <w:rFonts w:ascii="Times New Roman" w:hAnsi="Times New Roman"/>
          <w:lang w:eastAsia="ja-JP"/>
        </w:rPr>
        <w:tab/>
        <w:t>MAC control element for Recommended bit rate query;</w:t>
      </w:r>
    </w:p>
    <w:p w14:paraId="22D3684D" w14:textId="77777777" w:rsidR="005E2AB4" w:rsidRPr="005E2AB4" w:rsidRDefault="005E2AB4" w:rsidP="005E2AB4">
      <w:pPr>
        <w:spacing w:after="180"/>
        <w:ind w:left="852" w:hanging="284"/>
        <w:jc w:val="left"/>
        <w:textAlignment w:val="auto"/>
        <w:rPr>
          <w:rFonts w:ascii="Times New Roman" w:hAnsi="Times New Roman"/>
          <w:noProof/>
          <w:lang w:eastAsia="ja-JP"/>
        </w:rPr>
      </w:pPr>
      <w:r w:rsidRPr="005E2AB4">
        <w:rPr>
          <w:rFonts w:ascii="Times New Roman" w:hAnsi="Times New Roman"/>
          <w:noProof/>
          <w:lang w:eastAsia="ja-JP"/>
        </w:rPr>
        <w:t>-</w:t>
      </w:r>
      <w:r w:rsidRPr="005E2AB4">
        <w:rPr>
          <w:rFonts w:ascii="Times New Roman" w:hAnsi="Times New Roman"/>
          <w:noProof/>
          <w:lang w:eastAsia="ja-JP"/>
        </w:rPr>
        <w:tab/>
        <w:t>MAC control element for BSR included for padding;</w:t>
      </w:r>
    </w:p>
    <w:p w14:paraId="11F6EB68" w14:textId="092AD3F9" w:rsidR="005E2AB4" w:rsidRDefault="005E2AB4" w:rsidP="005E2AB4">
      <w:pPr>
        <w:ind w:left="284" w:firstLine="284"/>
        <w:rPr>
          <w:rFonts w:ascii="Times New Roman" w:hAnsi="Times New Roman"/>
          <w:noProof/>
          <w:lang w:eastAsia="ja-JP"/>
        </w:rPr>
      </w:pPr>
      <w:r w:rsidRPr="005E2AB4">
        <w:rPr>
          <w:rFonts w:ascii="Times New Roman" w:hAnsi="Times New Roman"/>
          <w:noProof/>
          <w:lang w:eastAsia="ja-JP"/>
        </w:rPr>
        <w:t>-</w:t>
      </w:r>
      <w:r>
        <w:rPr>
          <w:rFonts w:ascii="Times New Roman" w:hAnsi="Times New Roman"/>
          <w:noProof/>
          <w:lang w:eastAsia="ja-JP"/>
        </w:rPr>
        <w:t xml:space="preserve">    </w:t>
      </w:r>
      <w:r w:rsidRPr="005E2AB4">
        <w:rPr>
          <w:rFonts w:ascii="Times New Roman" w:hAnsi="Times New Roman"/>
          <w:noProof/>
          <w:lang w:eastAsia="ja-JP"/>
        </w:rPr>
        <w:t>MAC control element for Sidelink BSR included for padding.</w:t>
      </w:r>
    </w:p>
    <w:p w14:paraId="4B12A217" w14:textId="77777777" w:rsidR="005E2AB4" w:rsidRPr="005E2AB4" w:rsidRDefault="005E2AB4" w:rsidP="005E2AB4">
      <w:pPr>
        <w:ind w:left="284" w:firstLine="284"/>
        <w:rPr>
          <w:rFonts w:ascii="Times New Roman" w:hAnsi="Times New Roman"/>
        </w:rPr>
      </w:pPr>
    </w:p>
    <w:p w14:paraId="4133C41E" w14:textId="64C94D67" w:rsidR="00103371" w:rsidRDefault="005E2AB4" w:rsidP="00FD049A">
      <w:r>
        <w:t xml:space="preserve">Without the agreement </w:t>
      </w:r>
      <w:r w:rsidR="007C4C02">
        <w:t>on not sending</w:t>
      </w:r>
      <w:r w:rsidR="00E875C6">
        <w:t xml:space="preserve"> the BSR for EDT </w:t>
      </w:r>
      <w:r w:rsidR="007C4C02">
        <w:t>if triggered</w:t>
      </w:r>
      <w:r w:rsidR="008C4023">
        <w:t>/</w:t>
      </w:r>
      <w:r w:rsidR="007C4C02">
        <w:t xml:space="preserve">pending, </w:t>
      </w:r>
      <w:r w:rsidR="00E875C6">
        <w:t>the behaviour would be the following with the larger Msg3 grant for EDT:</w:t>
      </w:r>
    </w:p>
    <w:p w14:paraId="49A6530A" w14:textId="06B371B1" w:rsidR="00E875C6" w:rsidRDefault="00E875C6" w:rsidP="00E875C6">
      <w:pPr>
        <w:pStyle w:val="ListParagraph"/>
        <w:numPr>
          <w:ilvl w:val="0"/>
          <w:numId w:val="29"/>
        </w:numPr>
      </w:pPr>
      <w:r>
        <w:t>For NB-IoT both DPR and BSR would be included in EDT Msg3.</w:t>
      </w:r>
    </w:p>
    <w:p w14:paraId="5872437E" w14:textId="07931991" w:rsidR="00E875C6" w:rsidRDefault="00E875C6" w:rsidP="00E875C6">
      <w:pPr>
        <w:pStyle w:val="ListParagraph"/>
        <w:numPr>
          <w:ilvl w:val="0"/>
          <w:numId w:val="29"/>
        </w:numPr>
      </w:pPr>
      <w:r>
        <w:t>For LTE-M BSR would be included in EDT Msg3.</w:t>
      </w:r>
    </w:p>
    <w:p w14:paraId="314871B2" w14:textId="19AB4389" w:rsidR="00E875C6" w:rsidRDefault="00E875C6" w:rsidP="00FD049A">
      <w:r>
        <w:lastRenderedPageBreak/>
        <w:t xml:space="preserve">With the agreement </w:t>
      </w:r>
      <w:r w:rsidR="008C4023">
        <w:t>on not sending</w:t>
      </w:r>
      <w:r>
        <w:t xml:space="preserve"> the </w:t>
      </w:r>
      <w:r w:rsidR="008C4023">
        <w:t xml:space="preserve">pending/triggered </w:t>
      </w:r>
      <w:r>
        <w:t>BSR for EDT the behaviour would instead be:</w:t>
      </w:r>
    </w:p>
    <w:p w14:paraId="06E146BC" w14:textId="625E6AC1" w:rsidR="00E875C6" w:rsidRDefault="00E875C6" w:rsidP="00E875C6">
      <w:pPr>
        <w:pStyle w:val="ListParagraph"/>
        <w:numPr>
          <w:ilvl w:val="0"/>
          <w:numId w:val="30"/>
        </w:numPr>
      </w:pPr>
      <w:r>
        <w:t>For NB-IoT DPR would be included in EDT Msg3.</w:t>
      </w:r>
    </w:p>
    <w:p w14:paraId="0B634CCD" w14:textId="5A00EFB5" w:rsidR="00E875C6" w:rsidRDefault="00E875C6" w:rsidP="00E875C6">
      <w:pPr>
        <w:pStyle w:val="ListParagraph"/>
        <w:numPr>
          <w:ilvl w:val="0"/>
          <w:numId w:val="30"/>
        </w:numPr>
      </w:pPr>
      <w:r>
        <w:t>For LTE-M no report would be included in EDT Msg3.</w:t>
      </w:r>
    </w:p>
    <w:p w14:paraId="13F6FDED" w14:textId="0CC0C181" w:rsidR="00E875C6" w:rsidRDefault="00C676B7" w:rsidP="00FD049A">
      <w:r>
        <w:t xml:space="preserve">The agreement </w:t>
      </w:r>
      <w:r w:rsidR="001B1D0E">
        <w:t>on not transmitting</w:t>
      </w:r>
      <w:r>
        <w:t xml:space="preserve"> BSR is therefore very inconsistent for NB-IoT and LTE-M. For NB-IoT the eNB will anyway get a data volume report via the DPR which makes the motivation for </w:t>
      </w:r>
      <w:r w:rsidR="00EA05B8">
        <w:t>not transmitting</w:t>
      </w:r>
      <w:r>
        <w:t xml:space="preserve"> BSR unclear. For LTE-M no data volume report will be available at all</w:t>
      </w:r>
      <w:r w:rsidR="00EE1E2F">
        <w:t>, which would break the design principle of ha</w:t>
      </w:r>
      <w:r w:rsidR="006B0149">
        <w:t xml:space="preserve">ving the same functionality and </w:t>
      </w:r>
      <w:r w:rsidR="00427FF6">
        <w:t>applicability for LTE-M and NB-IoT</w:t>
      </w:r>
      <w:r w:rsidR="002F257F">
        <w:t>.</w:t>
      </w:r>
    </w:p>
    <w:p w14:paraId="22183CC0" w14:textId="06BC41EF" w:rsidR="00C676B7" w:rsidRDefault="001742CE" w:rsidP="001742CE">
      <w:pPr>
        <w:pStyle w:val="Observation"/>
      </w:pPr>
      <w:bookmarkStart w:id="42" w:name="_Toc513466831"/>
      <w:bookmarkStart w:id="43" w:name="_Toc513541739"/>
      <w:bookmarkStart w:id="44" w:name="_Toc513737240"/>
      <w:bookmarkStart w:id="45" w:name="_Toc513754186"/>
      <w:bookmarkStart w:id="46" w:name="_Toc513792071"/>
      <w:r>
        <w:t xml:space="preserve">The agreement </w:t>
      </w:r>
      <w:r w:rsidR="00EA05B8">
        <w:t>on not transmitting</w:t>
      </w:r>
      <w:r>
        <w:t xml:space="preserve"> the BSR in Msg3 for EDT results in inconsistent behaviour for NB-IoT and LTE-M.</w:t>
      </w:r>
      <w:bookmarkEnd w:id="42"/>
      <w:bookmarkEnd w:id="43"/>
      <w:bookmarkEnd w:id="44"/>
      <w:bookmarkEnd w:id="45"/>
      <w:bookmarkEnd w:id="46"/>
    </w:p>
    <w:p w14:paraId="55CAFE73" w14:textId="1A10A4F8" w:rsidR="0007529F" w:rsidRDefault="0007529F" w:rsidP="0007529F">
      <w:r>
        <w:t>This problem is fixed by the inclusion of BSR as proposed in Proposal 2. However, with the larger Msg3 grants for EDT this would for NB-IoT cause both BSR and DPR to be included in Msg3 which is not necessary. Therefore, we propose the following:</w:t>
      </w:r>
    </w:p>
    <w:p w14:paraId="32EE3DE9" w14:textId="00068CBA" w:rsidR="0007529F" w:rsidRPr="00FF16F6" w:rsidRDefault="0049605B" w:rsidP="0007529F">
      <w:pPr>
        <w:pStyle w:val="Proposal"/>
      </w:pPr>
      <w:bookmarkStart w:id="47" w:name="_Toc513541742"/>
      <w:bookmarkStart w:id="48" w:name="_Toc513737244"/>
      <w:bookmarkStart w:id="49" w:name="_Toc513754190"/>
      <w:bookmarkStart w:id="50" w:name="_Toc513792075"/>
      <w:r>
        <w:t>The UE shall not transmit</w:t>
      </w:r>
      <w:r w:rsidR="002906CB">
        <w:t xml:space="preserve"> BSR in Msg3 if it intend</w:t>
      </w:r>
      <w:r w:rsidR="00852839">
        <w:t>s to transmit DPR</w:t>
      </w:r>
      <w:r w:rsidR="0007529F">
        <w:t>.</w:t>
      </w:r>
      <w:bookmarkEnd w:id="47"/>
      <w:bookmarkEnd w:id="48"/>
      <w:bookmarkEnd w:id="49"/>
      <w:bookmarkEnd w:id="50"/>
    </w:p>
    <w:p w14:paraId="12C2EB65" w14:textId="77777777" w:rsidR="00C01F33" w:rsidRPr="00CE0424" w:rsidRDefault="00C01F33" w:rsidP="00CE0424">
      <w:pPr>
        <w:pStyle w:val="Heading1"/>
      </w:pPr>
      <w:r w:rsidRPr="00CE0424">
        <w:t>Conclusion</w:t>
      </w:r>
    </w:p>
    <w:p w14:paraId="6928C0F6" w14:textId="77777777" w:rsidR="004F4DA2" w:rsidRDefault="008E065E" w:rsidP="008E065E">
      <w:pPr>
        <w:pStyle w:val="BodyText"/>
        <w:rPr>
          <w:noProof/>
        </w:rPr>
      </w:pPr>
      <w:r>
        <w:t xml:space="preserve">In </w:t>
      </w:r>
      <w:r w:rsidR="002427AA">
        <w:t>S</w:t>
      </w:r>
      <w:r>
        <w:t xml:space="preserve">ection </w:t>
      </w:r>
      <w:r w:rsidR="00E709AA">
        <w:fldChar w:fldCharType="begin"/>
      </w:r>
      <w:r w:rsidR="00E709AA">
        <w:instrText xml:space="preserve"> REF _Ref511996703 \r \h </w:instrText>
      </w:r>
      <w:r w:rsidR="00E709AA">
        <w:fldChar w:fldCharType="separate"/>
      </w:r>
      <w:r w:rsidR="00E709AA">
        <w:t>2</w:t>
      </w:r>
      <w:r w:rsidR="00E709AA">
        <w:fldChar w:fldCharType="end"/>
      </w:r>
      <w:r w:rsidR="00E709AA">
        <w:t xml:space="preserve"> </w:t>
      </w:r>
      <w:r w:rsidRPr="00CE0424">
        <w:t xml:space="preserve">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5B7F7C4D" w14:textId="77777777" w:rsidR="004F4DA2" w:rsidRDefault="004F4DA2">
      <w:pPr>
        <w:pStyle w:val="TOC1"/>
        <w:rPr>
          <w:rFonts w:asciiTheme="minorHAnsi" w:eastAsiaTheme="minorEastAsia" w:hAnsiTheme="minorHAnsi" w:cstheme="minorBidi"/>
          <w:b w:val="0"/>
          <w:sz w:val="22"/>
          <w:lang w:eastAsia="en-US"/>
        </w:rPr>
      </w:pPr>
      <w:r w:rsidRPr="0017001A">
        <w:rPr>
          <w:rFonts w:cs="Arial"/>
          <w:lang w:eastAsia="en-GB"/>
        </w:rPr>
        <w:t>Observation 1</w:t>
      </w:r>
      <w:r>
        <w:rPr>
          <w:rFonts w:asciiTheme="minorHAnsi" w:eastAsiaTheme="minorEastAsia" w:hAnsiTheme="minorHAnsi" w:cstheme="minorBidi"/>
          <w:b w:val="0"/>
          <w:sz w:val="22"/>
          <w:lang w:eastAsia="en-US"/>
        </w:rPr>
        <w:tab/>
      </w:r>
      <w:r>
        <w:t>EDT is beneficial also for UEs with data size larger than the max EDT TBS.</w:t>
      </w:r>
    </w:p>
    <w:p w14:paraId="44D07522" w14:textId="77777777" w:rsidR="004F4DA2" w:rsidRDefault="004F4DA2">
      <w:pPr>
        <w:pStyle w:val="TOC1"/>
        <w:rPr>
          <w:rFonts w:asciiTheme="minorHAnsi" w:eastAsiaTheme="minorEastAsia" w:hAnsiTheme="minorHAnsi" w:cstheme="minorBidi"/>
          <w:b w:val="0"/>
          <w:sz w:val="22"/>
          <w:lang w:eastAsia="en-US"/>
        </w:rPr>
      </w:pPr>
      <w:r w:rsidRPr="0017001A">
        <w:rPr>
          <w:rFonts w:cs="Arial"/>
          <w:lang w:eastAsia="en-GB"/>
        </w:rPr>
        <w:t>Observation 2</w:t>
      </w:r>
      <w:r>
        <w:rPr>
          <w:rFonts w:asciiTheme="minorHAnsi" w:eastAsiaTheme="minorEastAsia" w:hAnsiTheme="minorHAnsi" w:cstheme="minorBidi"/>
          <w:b w:val="0"/>
          <w:sz w:val="22"/>
          <w:lang w:eastAsia="en-US"/>
        </w:rPr>
        <w:tab/>
      </w:r>
      <w:r w:rsidRPr="0017001A">
        <w:rPr>
          <w:rFonts w:cs="Arial"/>
          <w:lang w:eastAsia="en-GB"/>
        </w:rPr>
        <w:t>System resources are a network concern and it is up to the network to handle the load on the EDT resources, e.g. by increases the EDT resources or not letting UEs move to RRC_CONNECTED.</w:t>
      </w:r>
    </w:p>
    <w:p w14:paraId="0C2A670E" w14:textId="77777777" w:rsidR="004F4DA2" w:rsidRDefault="004F4DA2">
      <w:pPr>
        <w:pStyle w:val="TOC1"/>
        <w:rPr>
          <w:rFonts w:asciiTheme="minorHAnsi" w:eastAsiaTheme="minorEastAsia" w:hAnsiTheme="minorHAnsi" w:cstheme="minorBidi"/>
          <w:b w:val="0"/>
          <w:sz w:val="22"/>
          <w:lang w:eastAsia="en-US"/>
        </w:rPr>
      </w:pPr>
      <w:r w:rsidRPr="0017001A">
        <w:rPr>
          <w:rFonts w:cs="Arial"/>
          <w:lang w:eastAsia="en-GB"/>
        </w:rPr>
        <w:t>Observation 3</w:t>
      </w:r>
      <w:r>
        <w:rPr>
          <w:rFonts w:asciiTheme="minorHAnsi" w:eastAsiaTheme="minorEastAsia" w:hAnsiTheme="minorHAnsi" w:cstheme="minorBidi"/>
          <w:b w:val="0"/>
          <w:sz w:val="22"/>
          <w:lang w:eastAsia="en-US"/>
        </w:rPr>
        <w:tab/>
      </w:r>
      <w:r w:rsidRPr="0017001A">
        <w:rPr>
          <w:rFonts w:cs="Arial"/>
          <w:lang w:eastAsia="en-GB"/>
        </w:rPr>
        <w:t>If eNB can indicate in SI if use of EDT with data size larger than max TBS (BSR&gt;0) is allowed or not, it is ensured that the protection of network and EDT performance is as good as allowing BSR=0 only.</w:t>
      </w:r>
    </w:p>
    <w:p w14:paraId="51C0456C" w14:textId="77777777" w:rsidR="004F4DA2" w:rsidRDefault="004F4DA2">
      <w:pPr>
        <w:pStyle w:val="TOC1"/>
        <w:rPr>
          <w:rFonts w:asciiTheme="minorHAnsi" w:eastAsiaTheme="minorEastAsia" w:hAnsiTheme="minorHAnsi" w:cstheme="minorBidi"/>
          <w:b w:val="0"/>
          <w:sz w:val="22"/>
          <w:lang w:eastAsia="en-US"/>
        </w:rPr>
      </w:pPr>
      <w:r>
        <w:rPr>
          <w:lang w:eastAsia="ko-KR"/>
        </w:rPr>
        <w:t>Observation 4</w:t>
      </w:r>
      <w:r>
        <w:rPr>
          <w:rFonts w:asciiTheme="minorHAnsi" w:eastAsiaTheme="minorEastAsia" w:hAnsiTheme="minorHAnsi" w:cstheme="minorBidi"/>
          <w:b w:val="0"/>
          <w:sz w:val="22"/>
          <w:lang w:eastAsia="en-US"/>
        </w:rPr>
        <w:tab/>
      </w:r>
      <w:r>
        <w:rPr>
          <w:lang w:eastAsia="ko-KR"/>
        </w:rPr>
        <w:t>Explicitly removing the Msg3 BSR does not provide any gain and only results in larger specification impact and the possible introduction of errors.</w:t>
      </w:r>
    </w:p>
    <w:p w14:paraId="5834290F" w14:textId="77777777" w:rsidR="004F4DA2" w:rsidRDefault="004F4DA2">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The agreement on not transmitting the BSR in Msg3 for EDT results in inconsistent behaviour for NB-IoT and LTE-M.</w:t>
      </w:r>
    </w:p>
    <w:p w14:paraId="6484C78F" w14:textId="77777777" w:rsidR="008E065E" w:rsidRDefault="008E065E" w:rsidP="008E065E">
      <w:pPr>
        <w:pStyle w:val="BodyText"/>
        <w:rPr>
          <w:b/>
          <w:bCs/>
        </w:rPr>
      </w:pPr>
      <w:r>
        <w:rPr>
          <w:b/>
          <w:bCs/>
        </w:rPr>
        <w:fldChar w:fldCharType="end"/>
      </w:r>
    </w:p>
    <w:p w14:paraId="026091CA" w14:textId="77777777" w:rsidR="004F4DA2" w:rsidRDefault="008E065E" w:rsidP="008E065E">
      <w:pPr>
        <w:pStyle w:val="BodyText"/>
        <w:rPr>
          <w:noProof/>
        </w:rPr>
      </w:pPr>
      <w:r w:rsidRPr="00CE0424">
        <w:t xml:space="preserve">Based on the discussion in </w:t>
      </w:r>
      <w:r w:rsidR="002427AA">
        <w:t>S</w:t>
      </w:r>
      <w:r w:rsidRPr="00CE0424">
        <w:t xml:space="preserve">ection </w:t>
      </w:r>
      <w:r w:rsidR="00E709AA">
        <w:rPr>
          <w:highlight w:val="cyan"/>
        </w:rPr>
        <w:fldChar w:fldCharType="begin"/>
      </w:r>
      <w:r w:rsidR="00E709AA">
        <w:instrText xml:space="preserve"> REF _Ref511996703 \r \h </w:instrText>
      </w:r>
      <w:r w:rsidR="00E709AA">
        <w:rPr>
          <w:highlight w:val="cyan"/>
        </w:rPr>
      </w:r>
      <w:r w:rsidR="00E709AA">
        <w:rPr>
          <w:highlight w:val="cyan"/>
        </w:rPr>
        <w:fldChar w:fldCharType="separate"/>
      </w:r>
      <w:r w:rsidR="00E709AA">
        <w:t>2</w:t>
      </w:r>
      <w:r w:rsidR="00E709AA">
        <w:rPr>
          <w:highlight w:val="cyan"/>
        </w:rPr>
        <w:fldChar w:fldCharType="end"/>
      </w:r>
      <w:r w:rsidR="00E709AA">
        <w:t xml:space="preserve"> </w:t>
      </w:r>
      <w:r w:rsidRPr="00CE0424">
        <w:t>we propose the following:</w:t>
      </w:r>
      <w:r>
        <w:rPr>
          <w:b/>
          <w:bCs/>
        </w:rPr>
        <w:fldChar w:fldCharType="begin"/>
      </w:r>
      <w:r>
        <w:rPr>
          <w:b/>
          <w:bCs/>
        </w:rPr>
        <w:instrText xml:space="preserve"> TOC \f \n \p " " \t "Proposal;1" </w:instrText>
      </w:r>
      <w:r>
        <w:rPr>
          <w:b/>
          <w:bCs/>
        </w:rPr>
        <w:fldChar w:fldCharType="separate"/>
      </w:r>
    </w:p>
    <w:p w14:paraId="4DC5B106" w14:textId="77777777" w:rsidR="004F4DA2" w:rsidRDefault="004F4DA2">
      <w:pPr>
        <w:pStyle w:val="TOC1"/>
        <w:rPr>
          <w:rFonts w:asciiTheme="minorHAnsi" w:eastAsiaTheme="minorEastAsia" w:hAnsiTheme="minorHAnsi" w:cstheme="minorBidi"/>
          <w:b w:val="0"/>
          <w:sz w:val="22"/>
          <w:lang w:eastAsia="en-US"/>
        </w:rPr>
      </w:pPr>
      <w:bookmarkStart w:id="51" w:name="_GoBack"/>
      <w:bookmarkEnd w:id="51"/>
      <w:r>
        <w:rPr>
          <w:lang w:eastAsia="en-GB"/>
        </w:rPr>
        <w:t>Proposal 1</w:t>
      </w:r>
      <w:r>
        <w:rPr>
          <w:rFonts w:asciiTheme="minorHAnsi" w:eastAsiaTheme="minorEastAsia" w:hAnsiTheme="minorHAnsi" w:cstheme="minorBidi"/>
          <w:b w:val="0"/>
          <w:sz w:val="22"/>
          <w:lang w:eastAsia="en-US"/>
        </w:rPr>
        <w:tab/>
      </w:r>
      <w:r>
        <w:rPr>
          <w:lang w:eastAsia="en-GB"/>
        </w:rPr>
        <w:t xml:space="preserve">eNB indicates in SI </w:t>
      </w:r>
      <w:r w:rsidRPr="00D75AE2">
        <w:rPr>
          <w:rFonts w:cs="Arial"/>
          <w:lang w:eastAsia="en-GB"/>
        </w:rPr>
        <w:t xml:space="preserve">if use of EDT with data size larger than max TBS (BSR&gt;0) </w:t>
      </w:r>
      <w:r>
        <w:rPr>
          <w:lang w:eastAsia="en-GB"/>
        </w:rPr>
        <w:t>is allowed in the cell or not.</w:t>
      </w:r>
    </w:p>
    <w:p w14:paraId="34250754" w14:textId="77777777" w:rsidR="004F4DA2" w:rsidRDefault="004F4DA2">
      <w:pPr>
        <w:pStyle w:val="TOC1"/>
        <w:rPr>
          <w:rFonts w:asciiTheme="minorHAnsi" w:eastAsiaTheme="minorEastAsia" w:hAnsiTheme="minorHAnsi" w:cstheme="minorBidi"/>
          <w:b w:val="0"/>
          <w:sz w:val="22"/>
          <w:lang w:eastAsia="en-US"/>
        </w:rPr>
      </w:pPr>
      <w:r>
        <w:rPr>
          <w:lang w:eastAsia="en-GB"/>
        </w:rPr>
        <w:t>Proposal 2</w:t>
      </w:r>
      <w:r>
        <w:rPr>
          <w:rFonts w:asciiTheme="minorHAnsi" w:eastAsiaTheme="minorEastAsia" w:hAnsiTheme="minorHAnsi" w:cstheme="minorBidi"/>
          <w:b w:val="0"/>
          <w:sz w:val="22"/>
          <w:lang w:eastAsia="en-US"/>
        </w:rPr>
        <w:tab/>
      </w:r>
      <w:r>
        <w:rPr>
          <w:lang w:eastAsia="en-GB"/>
        </w:rPr>
        <w:t>The indication would be optional, and if not present in SI or supported by the UE, BSR&gt;0 would not be allowed.</w:t>
      </w:r>
    </w:p>
    <w:p w14:paraId="0B96EB53" w14:textId="77777777" w:rsidR="004F4DA2" w:rsidRDefault="004F4DA2">
      <w:pPr>
        <w:pStyle w:val="TOC1"/>
        <w:rPr>
          <w:rFonts w:asciiTheme="minorHAnsi" w:eastAsiaTheme="minorEastAsia" w:hAnsiTheme="minorHAnsi" w:cstheme="minorBidi"/>
          <w:b w:val="0"/>
          <w:sz w:val="22"/>
          <w:lang w:eastAsia="en-US"/>
        </w:rPr>
      </w:pPr>
      <w:r>
        <w:rPr>
          <w:lang w:eastAsia="ko-KR"/>
        </w:rPr>
        <w:t>Proposal 3</w:t>
      </w:r>
      <w:r>
        <w:rPr>
          <w:rFonts w:asciiTheme="minorHAnsi" w:eastAsiaTheme="minorEastAsia" w:hAnsiTheme="minorHAnsi" w:cstheme="minorBidi"/>
          <w:b w:val="0"/>
          <w:sz w:val="22"/>
          <w:lang w:eastAsia="en-US"/>
        </w:rPr>
        <w:tab/>
      </w:r>
      <w:r>
        <w:rPr>
          <w:lang w:eastAsia="ko-KR"/>
        </w:rPr>
        <w:t>BSR is generated for EDT Msg3 and it is left to eNB implementation if the UEs moved to RRC_CONNECTED for the transmission of remaining data if BSR&gt;0.</w:t>
      </w:r>
    </w:p>
    <w:p w14:paraId="37CE7F68" w14:textId="77777777" w:rsidR="004F4DA2" w:rsidRDefault="004F4DA2">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The UE shall not transmit BSR in Msg3 if it intends to transmit DPR.</w:t>
      </w:r>
    </w:p>
    <w:p w14:paraId="5938C3A5" w14:textId="6798EE0D" w:rsidR="00D65E10" w:rsidRPr="006D6C78" w:rsidRDefault="008E065E" w:rsidP="001A1C07">
      <w:pPr>
        <w:rPr>
          <w:b/>
          <w:bCs/>
        </w:rPr>
      </w:pPr>
      <w:r>
        <w:rPr>
          <w:b/>
          <w:bCs/>
        </w:rPr>
        <w:fldChar w:fldCharType="end"/>
      </w:r>
    </w:p>
    <w:p w14:paraId="1B8F8D5E" w14:textId="77777777" w:rsidR="00F507D1" w:rsidRPr="00CE0424" w:rsidRDefault="00F507D1" w:rsidP="00CE0424">
      <w:pPr>
        <w:pStyle w:val="Heading1"/>
      </w:pPr>
      <w:bookmarkStart w:id="52" w:name="_In-sequence_SDU_delivery"/>
      <w:bookmarkEnd w:id="52"/>
      <w:r w:rsidRPr="00CE0424">
        <w:t>References</w:t>
      </w:r>
    </w:p>
    <w:p w14:paraId="212E0980" w14:textId="0730D27D" w:rsidR="00E74C65" w:rsidRDefault="00E74C65" w:rsidP="00E74C65">
      <w:pPr>
        <w:pStyle w:val="Reference"/>
      </w:pPr>
      <w:bookmarkStart w:id="53" w:name="_Ref505947175"/>
      <w:bookmarkStart w:id="54" w:name="_Ref174151459"/>
      <w:bookmarkStart w:id="55" w:name="_Ref189809556"/>
      <w:r>
        <w:t>R2-1</w:t>
      </w:r>
      <w:r w:rsidR="00615C00">
        <w:t>80</w:t>
      </w:r>
      <w:r w:rsidR="003E1055">
        <w:t>3077</w:t>
      </w:r>
      <w:r>
        <w:t>,</w:t>
      </w:r>
      <w:bookmarkEnd w:id="53"/>
      <w:r w:rsidR="003E1055">
        <w:t xml:space="preserve"> Email discussion </w:t>
      </w:r>
      <w:r w:rsidR="002A372E">
        <w:t>“</w:t>
      </w:r>
      <w:r w:rsidR="003E1055">
        <w:t>[100#38] Padding issue in Msg3</w:t>
      </w:r>
      <w:r w:rsidR="002A372E">
        <w:t>”, Ericsson</w:t>
      </w:r>
    </w:p>
    <w:p w14:paraId="7707B36A" w14:textId="512D7D84" w:rsidR="001F427B" w:rsidRDefault="001F427B" w:rsidP="001F427B">
      <w:pPr>
        <w:pStyle w:val="Reference"/>
        <w:spacing w:after="180"/>
        <w:jc w:val="left"/>
        <w:textAlignment w:val="auto"/>
      </w:pPr>
      <w:bookmarkStart w:id="56" w:name="_Ref503215450"/>
      <w:bookmarkStart w:id="57" w:name="_Ref496627715"/>
      <w:r w:rsidRPr="00C113BB">
        <w:rPr>
          <w:noProof/>
        </w:rPr>
        <w:t>R2-1714156</w:t>
      </w:r>
      <w:r>
        <w:rPr>
          <w:noProof/>
        </w:rPr>
        <w:t>, “Reply LS on early data transmission”, LS from RAN1 to RAN2, Reno, Nevada, US, 27</w:t>
      </w:r>
      <w:r w:rsidRPr="00C113BB">
        <w:rPr>
          <w:noProof/>
          <w:vertAlign w:val="superscript"/>
        </w:rPr>
        <w:t>th</w:t>
      </w:r>
      <w:r>
        <w:rPr>
          <w:noProof/>
        </w:rPr>
        <w:t xml:space="preserve"> November – 1</w:t>
      </w:r>
      <w:r w:rsidRPr="00C113BB">
        <w:rPr>
          <w:noProof/>
          <w:vertAlign w:val="superscript"/>
        </w:rPr>
        <w:t>st</w:t>
      </w:r>
      <w:r>
        <w:rPr>
          <w:noProof/>
        </w:rPr>
        <w:t xml:space="preserve"> December 2017.</w:t>
      </w:r>
      <w:bookmarkEnd w:id="56"/>
      <w:bookmarkEnd w:id="57"/>
    </w:p>
    <w:p w14:paraId="6D08F93F" w14:textId="7B937C34" w:rsidR="004D6E04" w:rsidRPr="000A3746" w:rsidRDefault="004D6E04" w:rsidP="004D6E04">
      <w:pPr>
        <w:pStyle w:val="Reference"/>
      </w:pPr>
      <w:r>
        <w:t xml:space="preserve">R2-1713054, “General aspects of early data transmission”, Ericsson, RAN2#100, Reno, USA, </w:t>
      </w:r>
      <w:r w:rsidRPr="00E74C65">
        <w:rPr>
          <w:rFonts w:cs="Arial"/>
        </w:rPr>
        <w:t>27th Nov – 1th Dec 2017</w:t>
      </w:r>
      <w:bookmarkEnd w:id="54"/>
      <w:bookmarkEnd w:id="55"/>
    </w:p>
    <w:p w14:paraId="6410D1C6" w14:textId="1DD8028D" w:rsidR="000A3746" w:rsidRDefault="000A3746" w:rsidP="000A3746">
      <w:pPr>
        <w:pStyle w:val="Reference"/>
      </w:pPr>
      <w:bookmarkStart w:id="58" w:name="_Ref510083295"/>
      <w:r w:rsidRPr="000A3746">
        <w:t>R1-1802254</w:t>
      </w:r>
      <w:r>
        <w:t>, “</w:t>
      </w:r>
      <w:r w:rsidRPr="000A3746">
        <w:t>Data transmission during random access procedure</w:t>
      </w:r>
      <w:r>
        <w:t xml:space="preserve">”, </w:t>
      </w:r>
      <w:r w:rsidRPr="000A3746">
        <w:t>Nokia,</w:t>
      </w:r>
      <w:r>
        <w:t xml:space="preserve"> RAN1#92, Athens, Greece, Feb 2018.</w:t>
      </w:r>
      <w:bookmarkEnd w:id="58"/>
    </w:p>
    <w:p w14:paraId="02E69AFE" w14:textId="77EB69D1" w:rsidR="00035D61" w:rsidRPr="004C5FCA" w:rsidRDefault="00035D61" w:rsidP="00035D61">
      <w:pPr>
        <w:pStyle w:val="Reference"/>
      </w:pPr>
      <w:bookmarkStart w:id="59" w:name="_Ref513466013"/>
      <w:r w:rsidRPr="00035D61">
        <w:lastRenderedPageBreak/>
        <w:t>R2-1806520</w:t>
      </w:r>
      <w:r>
        <w:t>, “</w:t>
      </w:r>
      <w:r w:rsidRPr="00035D61">
        <w:t>Introduction of EDT for eMTC and NB-IoT in Rel-15 TS 36.32</w:t>
      </w:r>
      <w:r w:rsidR="005876DB">
        <w:t>1</w:t>
      </w:r>
      <w:r>
        <w:t xml:space="preserve">”, </w:t>
      </w:r>
      <w:r>
        <w:rPr>
          <w:noProof/>
        </w:rPr>
        <w:t xml:space="preserve">Intel Corporation, Ericsson, RAN2#101bis, </w:t>
      </w:r>
      <w:r w:rsidRPr="00035D61">
        <w:rPr>
          <w:noProof/>
        </w:rPr>
        <w:t>Sanya, China, April 2018</w:t>
      </w:r>
      <w:r w:rsidR="006208A1">
        <w:rPr>
          <w:noProof/>
        </w:rPr>
        <w:t>.</w:t>
      </w:r>
      <w:bookmarkEnd w:id="59"/>
    </w:p>
    <w:p w14:paraId="75CD566A" w14:textId="47946331" w:rsidR="00E074BE" w:rsidRDefault="00E074BE" w:rsidP="00E074BE">
      <w:pPr>
        <w:pStyle w:val="Proposal"/>
        <w:numPr>
          <w:ilvl w:val="0"/>
          <w:numId w:val="0"/>
        </w:numPr>
      </w:pPr>
    </w:p>
    <w:p w14:paraId="26C46A31" w14:textId="77777777" w:rsidR="00FF16F6" w:rsidRPr="00FF16F6" w:rsidRDefault="00FF16F6" w:rsidP="00E074BE">
      <w:pPr>
        <w:pStyle w:val="Proposal"/>
        <w:numPr>
          <w:ilvl w:val="0"/>
          <w:numId w:val="0"/>
        </w:numPr>
        <w:rPr>
          <w:lang w:val="en-US"/>
        </w:rPr>
      </w:pPr>
    </w:p>
    <w:p w14:paraId="07B81694" w14:textId="77777777" w:rsidR="00D63EB3" w:rsidRPr="00F2387B" w:rsidRDefault="00D63EB3" w:rsidP="00F2387B"/>
    <w:p w14:paraId="5B2994AA" w14:textId="77777777" w:rsidR="00C57CEC" w:rsidRPr="00F2387B" w:rsidRDefault="00C57CEC"/>
    <w:sectPr w:rsidR="00C57CEC" w:rsidRPr="00F2387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7DAAD" w14:textId="77777777" w:rsidR="008A42A6" w:rsidRDefault="008A42A6">
      <w:r>
        <w:separator/>
      </w:r>
    </w:p>
  </w:endnote>
  <w:endnote w:type="continuationSeparator" w:id="0">
    <w:p w14:paraId="0C43920A" w14:textId="77777777" w:rsidR="008A42A6" w:rsidRDefault="008A42A6">
      <w:r>
        <w:continuationSeparator/>
      </w:r>
    </w:p>
  </w:endnote>
  <w:endnote w:type="continuationNotice" w:id="1">
    <w:p w14:paraId="7B2D7DA7" w14:textId="77777777" w:rsidR="008A42A6" w:rsidRDefault="008A42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12C64B" w14:textId="77777777" w:rsidR="008A42A6" w:rsidRDefault="008A42A6">
      <w:r>
        <w:separator/>
      </w:r>
    </w:p>
  </w:footnote>
  <w:footnote w:type="continuationSeparator" w:id="0">
    <w:p w14:paraId="0FA7F6E3" w14:textId="77777777" w:rsidR="008A42A6" w:rsidRDefault="008A42A6">
      <w:r>
        <w:continuationSeparator/>
      </w:r>
    </w:p>
  </w:footnote>
  <w:footnote w:type="continuationNotice" w:id="1">
    <w:p w14:paraId="421BF5D7" w14:textId="77777777" w:rsidR="008A42A6" w:rsidRDefault="008A42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66208A"/>
    <w:multiLevelType w:val="hybridMultilevel"/>
    <w:tmpl w:val="2F5EB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13383D"/>
    <w:multiLevelType w:val="hybridMultilevel"/>
    <w:tmpl w:val="8E8625A6"/>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067F54BA"/>
    <w:multiLevelType w:val="hybridMultilevel"/>
    <w:tmpl w:val="4BF6A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A317A5"/>
    <w:multiLevelType w:val="hybridMultilevel"/>
    <w:tmpl w:val="402652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46236A"/>
    <w:multiLevelType w:val="hybridMultilevel"/>
    <w:tmpl w:val="9F6A5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12694B"/>
    <w:multiLevelType w:val="hybridMultilevel"/>
    <w:tmpl w:val="5F8ACAB2"/>
    <w:lvl w:ilvl="0" w:tplc="041D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AF249D8"/>
    <w:multiLevelType w:val="hybridMultilevel"/>
    <w:tmpl w:val="4C3E3C78"/>
    <w:lvl w:ilvl="0" w:tplc="4ADE8A62">
      <w:start w:val="1"/>
      <w:numFmt w:val="bullet"/>
      <w:lvlText w:val=""/>
      <w:lvlJc w:val="left"/>
      <w:pPr>
        <w:tabs>
          <w:tab w:val="num" w:pos="360"/>
        </w:tabs>
        <w:ind w:left="360" w:hanging="360"/>
      </w:pPr>
      <w:rPr>
        <w:rFonts w:ascii="Wingdings" w:hAnsi="Wingdings" w:hint="default"/>
      </w:rPr>
    </w:lvl>
    <w:lvl w:ilvl="1" w:tplc="641CEBDE">
      <w:numFmt w:val="bullet"/>
      <w:lvlText w:val="•"/>
      <w:lvlJc w:val="left"/>
      <w:pPr>
        <w:tabs>
          <w:tab w:val="num" w:pos="1080"/>
        </w:tabs>
        <w:ind w:left="1080" w:hanging="360"/>
      </w:pPr>
      <w:rPr>
        <w:rFonts w:ascii="Arial" w:hAnsi="Arial" w:hint="default"/>
      </w:rPr>
    </w:lvl>
    <w:lvl w:ilvl="2" w:tplc="374E3758">
      <w:numFmt w:val="bullet"/>
      <w:lvlText w:val="•"/>
      <w:lvlJc w:val="left"/>
      <w:pPr>
        <w:tabs>
          <w:tab w:val="num" w:pos="1800"/>
        </w:tabs>
        <w:ind w:left="1800" w:hanging="360"/>
      </w:pPr>
      <w:rPr>
        <w:rFonts w:ascii="Arial" w:hAnsi="Arial" w:hint="default"/>
      </w:rPr>
    </w:lvl>
    <w:lvl w:ilvl="3" w:tplc="7EBC6D84">
      <w:numFmt w:val="bullet"/>
      <w:lvlText w:val="•"/>
      <w:lvlJc w:val="left"/>
      <w:pPr>
        <w:tabs>
          <w:tab w:val="num" w:pos="2520"/>
        </w:tabs>
        <w:ind w:left="2520" w:hanging="360"/>
      </w:pPr>
      <w:rPr>
        <w:rFonts w:ascii="Arial" w:hAnsi="Arial" w:hint="default"/>
      </w:rPr>
    </w:lvl>
    <w:lvl w:ilvl="4" w:tplc="E9CE3646">
      <w:numFmt w:val="bullet"/>
      <w:lvlText w:val="•"/>
      <w:lvlJc w:val="left"/>
      <w:pPr>
        <w:tabs>
          <w:tab w:val="num" w:pos="3240"/>
        </w:tabs>
        <w:ind w:left="3240" w:hanging="360"/>
      </w:pPr>
      <w:rPr>
        <w:rFonts w:ascii="Arial" w:hAnsi="Arial" w:hint="default"/>
      </w:rPr>
    </w:lvl>
    <w:lvl w:ilvl="5" w:tplc="73EEFDC6" w:tentative="1">
      <w:start w:val="1"/>
      <w:numFmt w:val="bullet"/>
      <w:lvlText w:val=""/>
      <w:lvlJc w:val="left"/>
      <w:pPr>
        <w:tabs>
          <w:tab w:val="num" w:pos="3960"/>
        </w:tabs>
        <w:ind w:left="3960" w:hanging="360"/>
      </w:pPr>
      <w:rPr>
        <w:rFonts w:ascii="Wingdings" w:hAnsi="Wingdings" w:hint="default"/>
      </w:rPr>
    </w:lvl>
    <w:lvl w:ilvl="6" w:tplc="20A6FF8C" w:tentative="1">
      <w:start w:val="1"/>
      <w:numFmt w:val="bullet"/>
      <w:lvlText w:val=""/>
      <w:lvlJc w:val="left"/>
      <w:pPr>
        <w:tabs>
          <w:tab w:val="num" w:pos="4680"/>
        </w:tabs>
        <w:ind w:left="4680" w:hanging="360"/>
      </w:pPr>
      <w:rPr>
        <w:rFonts w:ascii="Wingdings" w:hAnsi="Wingdings" w:hint="default"/>
      </w:rPr>
    </w:lvl>
    <w:lvl w:ilvl="7" w:tplc="49BABCD8" w:tentative="1">
      <w:start w:val="1"/>
      <w:numFmt w:val="bullet"/>
      <w:lvlText w:val=""/>
      <w:lvlJc w:val="left"/>
      <w:pPr>
        <w:tabs>
          <w:tab w:val="num" w:pos="5400"/>
        </w:tabs>
        <w:ind w:left="5400" w:hanging="360"/>
      </w:pPr>
      <w:rPr>
        <w:rFonts w:ascii="Wingdings" w:hAnsi="Wingdings" w:hint="default"/>
      </w:rPr>
    </w:lvl>
    <w:lvl w:ilvl="8" w:tplc="32540B58"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B3423E1"/>
    <w:multiLevelType w:val="hybridMultilevel"/>
    <w:tmpl w:val="325C5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317A9D"/>
    <w:multiLevelType w:val="hybridMultilevel"/>
    <w:tmpl w:val="6212E03C"/>
    <w:lvl w:ilvl="0" w:tplc="821E4AF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0500AE7"/>
    <w:multiLevelType w:val="hybridMultilevel"/>
    <w:tmpl w:val="59BE3AA0"/>
    <w:lvl w:ilvl="0" w:tplc="6A5CE7E2">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4152F6"/>
    <w:multiLevelType w:val="hybridMultilevel"/>
    <w:tmpl w:val="B9E40C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424F2B"/>
    <w:multiLevelType w:val="hybridMultilevel"/>
    <w:tmpl w:val="05366A5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6C0905"/>
    <w:multiLevelType w:val="hybridMultilevel"/>
    <w:tmpl w:val="E8A0D5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0F71540"/>
    <w:multiLevelType w:val="hybridMultilevel"/>
    <w:tmpl w:val="CE36A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3"/>
  </w:num>
  <w:num w:numId="3">
    <w:abstractNumId w:val="17"/>
  </w:num>
  <w:num w:numId="4">
    <w:abstractNumId w:val="19"/>
  </w:num>
  <w:num w:numId="5">
    <w:abstractNumId w:val="15"/>
  </w:num>
  <w:num w:numId="6">
    <w:abstractNumId w:val="21"/>
  </w:num>
  <w:num w:numId="7">
    <w:abstractNumId w:val="26"/>
  </w:num>
  <w:num w:numId="8">
    <w:abstractNumId w:val="16"/>
  </w:num>
  <w:num w:numId="9">
    <w:abstractNumId w:val="14"/>
  </w:num>
  <w:num w:numId="10">
    <w:abstractNumId w:val="3"/>
  </w:num>
  <w:num w:numId="11">
    <w:abstractNumId w:val="2"/>
  </w:num>
  <w:num w:numId="12">
    <w:abstractNumId w:val="1"/>
  </w:num>
  <w:num w:numId="13">
    <w:abstractNumId w:val="25"/>
  </w:num>
  <w:num w:numId="14">
    <w:abstractNumId w:val="0"/>
  </w:num>
  <w:num w:numId="15">
    <w:abstractNumId w:val="28"/>
  </w:num>
  <w:num w:numId="16">
    <w:abstractNumId w:val="10"/>
  </w:num>
  <w:num w:numId="17">
    <w:abstractNumId w:val="20"/>
  </w:num>
  <w:num w:numId="18">
    <w:abstractNumId w:val="8"/>
  </w:num>
  <w:num w:numId="19">
    <w:abstractNumId w:val="18"/>
  </w:num>
  <w:num w:numId="20">
    <w:abstractNumId w:val="24"/>
  </w:num>
  <w:num w:numId="21">
    <w:abstractNumId w:val="12"/>
  </w:num>
  <w:num w:numId="22">
    <w:abstractNumId w:val="22"/>
  </w:num>
  <w:num w:numId="23">
    <w:abstractNumId w:val="6"/>
  </w:num>
  <w:num w:numId="24">
    <w:abstractNumId w:val="27"/>
  </w:num>
  <w:num w:numId="25">
    <w:abstractNumId w:val="11"/>
  </w:num>
  <w:num w:numId="26">
    <w:abstractNumId w:val="13"/>
  </w:num>
  <w:num w:numId="27">
    <w:abstractNumId w:val="5"/>
  </w:num>
  <w:num w:numId="28">
    <w:abstractNumId w:val="9"/>
  </w:num>
  <w:num w:numId="29">
    <w:abstractNumId w:val="29"/>
  </w:num>
  <w:num w:numId="3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C55"/>
    <w:rsid w:val="000006E1"/>
    <w:rsid w:val="00001DC0"/>
    <w:rsid w:val="00002A37"/>
    <w:rsid w:val="0000300A"/>
    <w:rsid w:val="0000393A"/>
    <w:rsid w:val="000039F4"/>
    <w:rsid w:val="00006446"/>
    <w:rsid w:val="00006896"/>
    <w:rsid w:val="00007CDC"/>
    <w:rsid w:val="00011B28"/>
    <w:rsid w:val="000140D4"/>
    <w:rsid w:val="000151AE"/>
    <w:rsid w:val="000157F3"/>
    <w:rsid w:val="00015D15"/>
    <w:rsid w:val="00016BB2"/>
    <w:rsid w:val="00021424"/>
    <w:rsid w:val="00021CC9"/>
    <w:rsid w:val="000233BA"/>
    <w:rsid w:val="0002558F"/>
    <w:rsid w:val="0002564D"/>
    <w:rsid w:val="00025ECA"/>
    <w:rsid w:val="00026B00"/>
    <w:rsid w:val="000325B8"/>
    <w:rsid w:val="00032D39"/>
    <w:rsid w:val="00034C15"/>
    <w:rsid w:val="00035220"/>
    <w:rsid w:val="00035C9B"/>
    <w:rsid w:val="00035D61"/>
    <w:rsid w:val="00036BA1"/>
    <w:rsid w:val="000422E2"/>
    <w:rsid w:val="00042F22"/>
    <w:rsid w:val="000444EF"/>
    <w:rsid w:val="00047F4A"/>
    <w:rsid w:val="00052A07"/>
    <w:rsid w:val="000534C8"/>
    <w:rsid w:val="000534E3"/>
    <w:rsid w:val="000542D7"/>
    <w:rsid w:val="000544B6"/>
    <w:rsid w:val="000546A9"/>
    <w:rsid w:val="0005605C"/>
    <w:rsid w:val="0005606A"/>
    <w:rsid w:val="00056F92"/>
    <w:rsid w:val="00057117"/>
    <w:rsid w:val="000616E7"/>
    <w:rsid w:val="000620C4"/>
    <w:rsid w:val="0006487E"/>
    <w:rsid w:val="00064A72"/>
    <w:rsid w:val="00065E1A"/>
    <w:rsid w:val="0007529F"/>
    <w:rsid w:val="00076054"/>
    <w:rsid w:val="00077E5F"/>
    <w:rsid w:val="0008036A"/>
    <w:rsid w:val="00081AE6"/>
    <w:rsid w:val="000855EB"/>
    <w:rsid w:val="00085B52"/>
    <w:rsid w:val="000866F2"/>
    <w:rsid w:val="0009009F"/>
    <w:rsid w:val="00091557"/>
    <w:rsid w:val="00091E2F"/>
    <w:rsid w:val="000924C1"/>
    <w:rsid w:val="000924F0"/>
    <w:rsid w:val="00092BEF"/>
    <w:rsid w:val="00092BF0"/>
    <w:rsid w:val="00093233"/>
    <w:rsid w:val="00093474"/>
    <w:rsid w:val="0009510F"/>
    <w:rsid w:val="000A1B7B"/>
    <w:rsid w:val="000A3746"/>
    <w:rsid w:val="000A56F2"/>
    <w:rsid w:val="000A5C52"/>
    <w:rsid w:val="000A5E00"/>
    <w:rsid w:val="000A723E"/>
    <w:rsid w:val="000B2719"/>
    <w:rsid w:val="000B3A8F"/>
    <w:rsid w:val="000B4963"/>
    <w:rsid w:val="000B4AB9"/>
    <w:rsid w:val="000B58C3"/>
    <w:rsid w:val="000B61E9"/>
    <w:rsid w:val="000B6695"/>
    <w:rsid w:val="000C165A"/>
    <w:rsid w:val="000C2B67"/>
    <w:rsid w:val="000C2E19"/>
    <w:rsid w:val="000C4D35"/>
    <w:rsid w:val="000C728F"/>
    <w:rsid w:val="000C75CF"/>
    <w:rsid w:val="000D0D07"/>
    <w:rsid w:val="000D4797"/>
    <w:rsid w:val="000D77F8"/>
    <w:rsid w:val="000E0527"/>
    <w:rsid w:val="000E1E92"/>
    <w:rsid w:val="000E2D79"/>
    <w:rsid w:val="000E2ED6"/>
    <w:rsid w:val="000F06D6"/>
    <w:rsid w:val="000F0EB1"/>
    <w:rsid w:val="000F1106"/>
    <w:rsid w:val="000F26F3"/>
    <w:rsid w:val="000F3592"/>
    <w:rsid w:val="000F3BE9"/>
    <w:rsid w:val="000F3F6C"/>
    <w:rsid w:val="000F6DF3"/>
    <w:rsid w:val="000F719B"/>
    <w:rsid w:val="000F7331"/>
    <w:rsid w:val="001001F2"/>
    <w:rsid w:val="001005FF"/>
    <w:rsid w:val="00101EEB"/>
    <w:rsid w:val="00103371"/>
    <w:rsid w:val="001062FB"/>
    <w:rsid w:val="001063E6"/>
    <w:rsid w:val="0011310A"/>
    <w:rsid w:val="00113A23"/>
    <w:rsid w:val="00113CF4"/>
    <w:rsid w:val="00114568"/>
    <w:rsid w:val="001153EA"/>
    <w:rsid w:val="00115643"/>
    <w:rsid w:val="00116765"/>
    <w:rsid w:val="001219F5"/>
    <w:rsid w:val="00121A20"/>
    <w:rsid w:val="00122C27"/>
    <w:rsid w:val="00123449"/>
    <w:rsid w:val="0012377F"/>
    <w:rsid w:val="00123FB7"/>
    <w:rsid w:val="00124314"/>
    <w:rsid w:val="0012498F"/>
    <w:rsid w:val="00126B4A"/>
    <w:rsid w:val="00132FD0"/>
    <w:rsid w:val="00133B65"/>
    <w:rsid w:val="001340E9"/>
    <w:rsid w:val="0013425D"/>
    <w:rsid w:val="001344C0"/>
    <w:rsid w:val="001346FA"/>
    <w:rsid w:val="00135252"/>
    <w:rsid w:val="00135332"/>
    <w:rsid w:val="00135F35"/>
    <w:rsid w:val="00136B62"/>
    <w:rsid w:val="001379C8"/>
    <w:rsid w:val="00137AB5"/>
    <w:rsid w:val="00137F0B"/>
    <w:rsid w:val="0014783E"/>
    <w:rsid w:val="00151040"/>
    <w:rsid w:val="00151E23"/>
    <w:rsid w:val="001526E0"/>
    <w:rsid w:val="001551B5"/>
    <w:rsid w:val="00156641"/>
    <w:rsid w:val="001636AC"/>
    <w:rsid w:val="001659C1"/>
    <w:rsid w:val="001674F2"/>
    <w:rsid w:val="00172806"/>
    <w:rsid w:val="00173A8E"/>
    <w:rsid w:val="001742CE"/>
    <w:rsid w:val="00177795"/>
    <w:rsid w:val="00180599"/>
    <w:rsid w:val="0018143F"/>
    <w:rsid w:val="00181861"/>
    <w:rsid w:val="00190AC1"/>
    <w:rsid w:val="0019341A"/>
    <w:rsid w:val="001936BF"/>
    <w:rsid w:val="00193D4D"/>
    <w:rsid w:val="00197DF9"/>
    <w:rsid w:val="001A1987"/>
    <w:rsid w:val="001A1C07"/>
    <w:rsid w:val="001A2564"/>
    <w:rsid w:val="001A44F0"/>
    <w:rsid w:val="001A49B0"/>
    <w:rsid w:val="001A6173"/>
    <w:rsid w:val="001A6CBA"/>
    <w:rsid w:val="001A7081"/>
    <w:rsid w:val="001B0D97"/>
    <w:rsid w:val="001B1B2E"/>
    <w:rsid w:val="001B1D0E"/>
    <w:rsid w:val="001B2AFB"/>
    <w:rsid w:val="001B5A5D"/>
    <w:rsid w:val="001C04BF"/>
    <w:rsid w:val="001C1CE5"/>
    <w:rsid w:val="001C3D2A"/>
    <w:rsid w:val="001C49B0"/>
    <w:rsid w:val="001C74FC"/>
    <w:rsid w:val="001C7700"/>
    <w:rsid w:val="001D15DC"/>
    <w:rsid w:val="001D34A7"/>
    <w:rsid w:val="001D51BA"/>
    <w:rsid w:val="001D5CF3"/>
    <w:rsid w:val="001D6342"/>
    <w:rsid w:val="001D6D53"/>
    <w:rsid w:val="001D74C6"/>
    <w:rsid w:val="001D7E9E"/>
    <w:rsid w:val="001E0D78"/>
    <w:rsid w:val="001E161E"/>
    <w:rsid w:val="001E2AA8"/>
    <w:rsid w:val="001E2D45"/>
    <w:rsid w:val="001E58E2"/>
    <w:rsid w:val="001E7AED"/>
    <w:rsid w:val="001F3916"/>
    <w:rsid w:val="001F427B"/>
    <w:rsid w:val="001F54C5"/>
    <w:rsid w:val="001F662C"/>
    <w:rsid w:val="001F7074"/>
    <w:rsid w:val="001F77BB"/>
    <w:rsid w:val="00200490"/>
    <w:rsid w:val="00201F3A"/>
    <w:rsid w:val="00202FFB"/>
    <w:rsid w:val="00203F96"/>
    <w:rsid w:val="002044EF"/>
    <w:rsid w:val="00204F1C"/>
    <w:rsid w:val="0020683A"/>
    <w:rsid w:val="002069B2"/>
    <w:rsid w:val="00207F5B"/>
    <w:rsid w:val="00207FA3"/>
    <w:rsid w:val="00213DC2"/>
    <w:rsid w:val="00214AD3"/>
    <w:rsid w:val="00214DA8"/>
    <w:rsid w:val="00215423"/>
    <w:rsid w:val="002158FA"/>
    <w:rsid w:val="00220600"/>
    <w:rsid w:val="00220C28"/>
    <w:rsid w:val="00221F14"/>
    <w:rsid w:val="002224DB"/>
    <w:rsid w:val="00222607"/>
    <w:rsid w:val="00223FCB"/>
    <w:rsid w:val="00225069"/>
    <w:rsid w:val="002252C3"/>
    <w:rsid w:val="0022560F"/>
    <w:rsid w:val="00225C54"/>
    <w:rsid w:val="00230765"/>
    <w:rsid w:val="002319E4"/>
    <w:rsid w:val="002324BB"/>
    <w:rsid w:val="00235632"/>
    <w:rsid w:val="00235872"/>
    <w:rsid w:val="0023640A"/>
    <w:rsid w:val="00237057"/>
    <w:rsid w:val="00241559"/>
    <w:rsid w:val="002427AA"/>
    <w:rsid w:val="002435B3"/>
    <w:rsid w:val="002458EB"/>
    <w:rsid w:val="00245905"/>
    <w:rsid w:val="002500C8"/>
    <w:rsid w:val="002518E6"/>
    <w:rsid w:val="00256492"/>
    <w:rsid w:val="00257543"/>
    <w:rsid w:val="002606D7"/>
    <w:rsid w:val="002607C0"/>
    <w:rsid w:val="002617E7"/>
    <w:rsid w:val="002618E8"/>
    <w:rsid w:val="00264228"/>
    <w:rsid w:val="00264334"/>
    <w:rsid w:val="0026473E"/>
    <w:rsid w:val="00265FEE"/>
    <w:rsid w:val="002661BE"/>
    <w:rsid w:val="00266214"/>
    <w:rsid w:val="00267476"/>
    <w:rsid w:val="00267C83"/>
    <w:rsid w:val="0027144F"/>
    <w:rsid w:val="00271F3A"/>
    <w:rsid w:val="00272CC7"/>
    <w:rsid w:val="00273278"/>
    <w:rsid w:val="002737F4"/>
    <w:rsid w:val="00274BFC"/>
    <w:rsid w:val="00280096"/>
    <w:rsid w:val="0028059B"/>
    <w:rsid w:val="002805F5"/>
    <w:rsid w:val="00280751"/>
    <w:rsid w:val="0028218D"/>
    <w:rsid w:val="0028280A"/>
    <w:rsid w:val="002834D2"/>
    <w:rsid w:val="0028360F"/>
    <w:rsid w:val="00286ACD"/>
    <w:rsid w:val="00287838"/>
    <w:rsid w:val="002906CB"/>
    <w:rsid w:val="002907B5"/>
    <w:rsid w:val="00291D0D"/>
    <w:rsid w:val="002921AC"/>
    <w:rsid w:val="00292EB7"/>
    <w:rsid w:val="00294F86"/>
    <w:rsid w:val="00296227"/>
    <w:rsid w:val="00296F44"/>
    <w:rsid w:val="0029777D"/>
    <w:rsid w:val="002A055E"/>
    <w:rsid w:val="002A17DD"/>
    <w:rsid w:val="002A1D4E"/>
    <w:rsid w:val="002A2869"/>
    <w:rsid w:val="002A372E"/>
    <w:rsid w:val="002A39F3"/>
    <w:rsid w:val="002A39F7"/>
    <w:rsid w:val="002A5244"/>
    <w:rsid w:val="002A6C50"/>
    <w:rsid w:val="002A7B2F"/>
    <w:rsid w:val="002B06C5"/>
    <w:rsid w:val="002B24D6"/>
    <w:rsid w:val="002B38A4"/>
    <w:rsid w:val="002B41F1"/>
    <w:rsid w:val="002C41E6"/>
    <w:rsid w:val="002C779D"/>
    <w:rsid w:val="002D071A"/>
    <w:rsid w:val="002D299C"/>
    <w:rsid w:val="002D2ADE"/>
    <w:rsid w:val="002D2F31"/>
    <w:rsid w:val="002D34B2"/>
    <w:rsid w:val="002D7637"/>
    <w:rsid w:val="002D7DDF"/>
    <w:rsid w:val="002E17F2"/>
    <w:rsid w:val="002E2EF0"/>
    <w:rsid w:val="002E4F4E"/>
    <w:rsid w:val="002E7CAE"/>
    <w:rsid w:val="002F0ECE"/>
    <w:rsid w:val="002F202D"/>
    <w:rsid w:val="002F23E8"/>
    <w:rsid w:val="002F257F"/>
    <w:rsid w:val="002F2771"/>
    <w:rsid w:val="002F37A9"/>
    <w:rsid w:val="002F5C7E"/>
    <w:rsid w:val="002F7855"/>
    <w:rsid w:val="00301CE6"/>
    <w:rsid w:val="0030256B"/>
    <w:rsid w:val="0030501F"/>
    <w:rsid w:val="00307220"/>
    <w:rsid w:val="00307BA1"/>
    <w:rsid w:val="00311702"/>
    <w:rsid w:val="003117A0"/>
    <w:rsid w:val="00311E82"/>
    <w:rsid w:val="00313FD6"/>
    <w:rsid w:val="003143BD"/>
    <w:rsid w:val="0031645F"/>
    <w:rsid w:val="00317A53"/>
    <w:rsid w:val="003203ED"/>
    <w:rsid w:val="0032254B"/>
    <w:rsid w:val="00322C9F"/>
    <w:rsid w:val="00324D23"/>
    <w:rsid w:val="00326CC8"/>
    <w:rsid w:val="00327F4A"/>
    <w:rsid w:val="00327FD2"/>
    <w:rsid w:val="00330EFB"/>
    <w:rsid w:val="00331751"/>
    <w:rsid w:val="00333012"/>
    <w:rsid w:val="00334579"/>
    <w:rsid w:val="00334A98"/>
    <w:rsid w:val="00335858"/>
    <w:rsid w:val="00336BDA"/>
    <w:rsid w:val="0034005A"/>
    <w:rsid w:val="00342BD7"/>
    <w:rsid w:val="00343168"/>
    <w:rsid w:val="00343A07"/>
    <w:rsid w:val="00343AAA"/>
    <w:rsid w:val="00343BF8"/>
    <w:rsid w:val="00346DB5"/>
    <w:rsid w:val="003477B1"/>
    <w:rsid w:val="003520D4"/>
    <w:rsid w:val="00353ED2"/>
    <w:rsid w:val="003547A5"/>
    <w:rsid w:val="003548FE"/>
    <w:rsid w:val="0035491B"/>
    <w:rsid w:val="003559DE"/>
    <w:rsid w:val="00355E56"/>
    <w:rsid w:val="00357380"/>
    <w:rsid w:val="003602D9"/>
    <w:rsid w:val="003604CE"/>
    <w:rsid w:val="00361297"/>
    <w:rsid w:val="00362C9E"/>
    <w:rsid w:val="00365EFC"/>
    <w:rsid w:val="00366B3B"/>
    <w:rsid w:val="00370E47"/>
    <w:rsid w:val="00372DCA"/>
    <w:rsid w:val="00372F2C"/>
    <w:rsid w:val="0037369E"/>
    <w:rsid w:val="003742AC"/>
    <w:rsid w:val="00377CE1"/>
    <w:rsid w:val="00381D6F"/>
    <w:rsid w:val="0038211A"/>
    <w:rsid w:val="00384486"/>
    <w:rsid w:val="00385B53"/>
    <w:rsid w:val="00385BF0"/>
    <w:rsid w:val="0038620A"/>
    <w:rsid w:val="00390AC1"/>
    <w:rsid w:val="00390F49"/>
    <w:rsid w:val="00391FCB"/>
    <w:rsid w:val="00392098"/>
    <w:rsid w:val="003939FF"/>
    <w:rsid w:val="00396122"/>
    <w:rsid w:val="003971E1"/>
    <w:rsid w:val="003A15B2"/>
    <w:rsid w:val="003A1646"/>
    <w:rsid w:val="003A2223"/>
    <w:rsid w:val="003A2A0F"/>
    <w:rsid w:val="003A45A1"/>
    <w:rsid w:val="003A5765"/>
    <w:rsid w:val="003A5B0A"/>
    <w:rsid w:val="003A6BAC"/>
    <w:rsid w:val="003A7EF3"/>
    <w:rsid w:val="003B159C"/>
    <w:rsid w:val="003B369F"/>
    <w:rsid w:val="003B36A3"/>
    <w:rsid w:val="003B3791"/>
    <w:rsid w:val="003B460B"/>
    <w:rsid w:val="003B7308"/>
    <w:rsid w:val="003B7FE5"/>
    <w:rsid w:val="003C1127"/>
    <w:rsid w:val="003C11C8"/>
    <w:rsid w:val="003C1E56"/>
    <w:rsid w:val="003C23C1"/>
    <w:rsid w:val="003C2702"/>
    <w:rsid w:val="003C6E79"/>
    <w:rsid w:val="003C7806"/>
    <w:rsid w:val="003D109F"/>
    <w:rsid w:val="003D2478"/>
    <w:rsid w:val="003D3C45"/>
    <w:rsid w:val="003D5B1F"/>
    <w:rsid w:val="003D7057"/>
    <w:rsid w:val="003E1055"/>
    <w:rsid w:val="003E15FA"/>
    <w:rsid w:val="003E332F"/>
    <w:rsid w:val="003E55E4"/>
    <w:rsid w:val="003E74E3"/>
    <w:rsid w:val="003E7D02"/>
    <w:rsid w:val="003F05C7"/>
    <w:rsid w:val="003F0C85"/>
    <w:rsid w:val="003F2CD4"/>
    <w:rsid w:val="003F5F1E"/>
    <w:rsid w:val="003F672C"/>
    <w:rsid w:val="003F6BBE"/>
    <w:rsid w:val="004000E8"/>
    <w:rsid w:val="00400D46"/>
    <w:rsid w:val="00401093"/>
    <w:rsid w:val="00402E2B"/>
    <w:rsid w:val="0040512B"/>
    <w:rsid w:val="00405350"/>
    <w:rsid w:val="00405CA5"/>
    <w:rsid w:val="00407C74"/>
    <w:rsid w:val="00407CD3"/>
    <w:rsid w:val="00410134"/>
    <w:rsid w:val="00410B72"/>
    <w:rsid w:val="00410F18"/>
    <w:rsid w:val="004120B9"/>
    <w:rsid w:val="00412516"/>
    <w:rsid w:val="0041263E"/>
    <w:rsid w:val="0041332B"/>
    <w:rsid w:val="00413AAC"/>
    <w:rsid w:val="00413C5C"/>
    <w:rsid w:val="00416C3C"/>
    <w:rsid w:val="00421105"/>
    <w:rsid w:val="00421394"/>
    <w:rsid w:val="004235C4"/>
    <w:rsid w:val="004242F4"/>
    <w:rsid w:val="004249EF"/>
    <w:rsid w:val="00425412"/>
    <w:rsid w:val="00427248"/>
    <w:rsid w:val="00427CF7"/>
    <w:rsid w:val="00427FF6"/>
    <w:rsid w:val="00430A75"/>
    <w:rsid w:val="00430C7E"/>
    <w:rsid w:val="00431B66"/>
    <w:rsid w:val="004330B6"/>
    <w:rsid w:val="004347BA"/>
    <w:rsid w:val="00436ADF"/>
    <w:rsid w:val="00437447"/>
    <w:rsid w:val="004400C5"/>
    <w:rsid w:val="00441A92"/>
    <w:rsid w:val="00441B5D"/>
    <w:rsid w:val="004428E6"/>
    <w:rsid w:val="00444F56"/>
    <w:rsid w:val="00446488"/>
    <w:rsid w:val="004507AE"/>
    <w:rsid w:val="004517AA"/>
    <w:rsid w:val="00452CAC"/>
    <w:rsid w:val="00453B08"/>
    <w:rsid w:val="00457565"/>
    <w:rsid w:val="00457B71"/>
    <w:rsid w:val="004611BE"/>
    <w:rsid w:val="004659F0"/>
    <w:rsid w:val="004669E2"/>
    <w:rsid w:val="00467169"/>
    <w:rsid w:val="00467F02"/>
    <w:rsid w:val="00470151"/>
    <w:rsid w:val="00470C31"/>
    <w:rsid w:val="004726FB"/>
    <w:rsid w:val="004734D0"/>
    <w:rsid w:val="0047556B"/>
    <w:rsid w:val="0047731C"/>
    <w:rsid w:val="00477768"/>
    <w:rsid w:val="00482248"/>
    <w:rsid w:val="00486FD9"/>
    <w:rsid w:val="00491962"/>
    <w:rsid w:val="00492BC5"/>
    <w:rsid w:val="0049605B"/>
    <w:rsid w:val="004964F1"/>
    <w:rsid w:val="004A16BC"/>
    <w:rsid w:val="004A2591"/>
    <w:rsid w:val="004A2B94"/>
    <w:rsid w:val="004A2D8B"/>
    <w:rsid w:val="004A7A40"/>
    <w:rsid w:val="004B18B9"/>
    <w:rsid w:val="004B2C89"/>
    <w:rsid w:val="004B2F94"/>
    <w:rsid w:val="004B6CD5"/>
    <w:rsid w:val="004B72FE"/>
    <w:rsid w:val="004B7C0C"/>
    <w:rsid w:val="004C1D08"/>
    <w:rsid w:val="004C2DB9"/>
    <w:rsid w:val="004C3898"/>
    <w:rsid w:val="004C4F2F"/>
    <w:rsid w:val="004C5FCA"/>
    <w:rsid w:val="004D30C0"/>
    <w:rsid w:val="004D36B1"/>
    <w:rsid w:val="004D47BE"/>
    <w:rsid w:val="004D5856"/>
    <w:rsid w:val="004D6E04"/>
    <w:rsid w:val="004D7EBD"/>
    <w:rsid w:val="004E2680"/>
    <w:rsid w:val="004E28F9"/>
    <w:rsid w:val="004E3090"/>
    <w:rsid w:val="004E3207"/>
    <w:rsid w:val="004E462E"/>
    <w:rsid w:val="004E54D2"/>
    <w:rsid w:val="004E56DC"/>
    <w:rsid w:val="004E76F4"/>
    <w:rsid w:val="004F08E3"/>
    <w:rsid w:val="004F0B4E"/>
    <w:rsid w:val="004F0B6C"/>
    <w:rsid w:val="004F2078"/>
    <w:rsid w:val="004F24B3"/>
    <w:rsid w:val="004F3E10"/>
    <w:rsid w:val="004F4DA2"/>
    <w:rsid w:val="004F4DA3"/>
    <w:rsid w:val="004F5578"/>
    <w:rsid w:val="00500D75"/>
    <w:rsid w:val="005038A9"/>
    <w:rsid w:val="00504D31"/>
    <w:rsid w:val="00505DAA"/>
    <w:rsid w:val="00506557"/>
    <w:rsid w:val="0050677A"/>
    <w:rsid w:val="005108D8"/>
    <w:rsid w:val="005116F9"/>
    <w:rsid w:val="0051301C"/>
    <w:rsid w:val="00513C63"/>
    <w:rsid w:val="00513D84"/>
    <w:rsid w:val="005145CD"/>
    <w:rsid w:val="00514D02"/>
    <w:rsid w:val="005153A7"/>
    <w:rsid w:val="00520E9D"/>
    <w:rsid w:val="00521488"/>
    <w:rsid w:val="005219CF"/>
    <w:rsid w:val="00523234"/>
    <w:rsid w:val="00523FF2"/>
    <w:rsid w:val="0053180F"/>
    <w:rsid w:val="0053199C"/>
    <w:rsid w:val="00532734"/>
    <w:rsid w:val="005347D5"/>
    <w:rsid w:val="00534B59"/>
    <w:rsid w:val="00535F91"/>
    <w:rsid w:val="0053604E"/>
    <w:rsid w:val="00536759"/>
    <w:rsid w:val="00536D08"/>
    <w:rsid w:val="00537C62"/>
    <w:rsid w:val="005419C5"/>
    <w:rsid w:val="00541AC3"/>
    <w:rsid w:val="00541BA8"/>
    <w:rsid w:val="0054243C"/>
    <w:rsid w:val="0054270B"/>
    <w:rsid w:val="005458DC"/>
    <w:rsid w:val="00545E6B"/>
    <w:rsid w:val="00546970"/>
    <w:rsid w:val="0055466A"/>
    <w:rsid w:val="00554E19"/>
    <w:rsid w:val="005571AC"/>
    <w:rsid w:val="0056121F"/>
    <w:rsid w:val="00564801"/>
    <w:rsid w:val="0056547C"/>
    <w:rsid w:val="00572505"/>
    <w:rsid w:val="00577FAA"/>
    <w:rsid w:val="005807E6"/>
    <w:rsid w:val="00582809"/>
    <w:rsid w:val="0058344C"/>
    <w:rsid w:val="00585519"/>
    <w:rsid w:val="005861A7"/>
    <w:rsid w:val="005863EF"/>
    <w:rsid w:val="005876DB"/>
    <w:rsid w:val="0058798C"/>
    <w:rsid w:val="005900FA"/>
    <w:rsid w:val="005908C4"/>
    <w:rsid w:val="005910F6"/>
    <w:rsid w:val="00591162"/>
    <w:rsid w:val="005935A4"/>
    <w:rsid w:val="005948C2"/>
    <w:rsid w:val="00595DCA"/>
    <w:rsid w:val="005960A6"/>
    <w:rsid w:val="0059779B"/>
    <w:rsid w:val="005A04D1"/>
    <w:rsid w:val="005A1254"/>
    <w:rsid w:val="005A1470"/>
    <w:rsid w:val="005A209A"/>
    <w:rsid w:val="005A4D7B"/>
    <w:rsid w:val="005A662D"/>
    <w:rsid w:val="005A66E3"/>
    <w:rsid w:val="005B1168"/>
    <w:rsid w:val="005B2688"/>
    <w:rsid w:val="005B2E51"/>
    <w:rsid w:val="005B2EF6"/>
    <w:rsid w:val="005B35D7"/>
    <w:rsid w:val="005B392A"/>
    <w:rsid w:val="005B3AA3"/>
    <w:rsid w:val="005B4A9E"/>
    <w:rsid w:val="005B5136"/>
    <w:rsid w:val="005B591A"/>
    <w:rsid w:val="005B6F83"/>
    <w:rsid w:val="005C0A9E"/>
    <w:rsid w:val="005C4A99"/>
    <w:rsid w:val="005C54B8"/>
    <w:rsid w:val="005C74FB"/>
    <w:rsid w:val="005D1602"/>
    <w:rsid w:val="005D3CF4"/>
    <w:rsid w:val="005D52D0"/>
    <w:rsid w:val="005D7C37"/>
    <w:rsid w:val="005E03C7"/>
    <w:rsid w:val="005E2AB4"/>
    <w:rsid w:val="005E385F"/>
    <w:rsid w:val="005E3C7C"/>
    <w:rsid w:val="005E5B81"/>
    <w:rsid w:val="005F147A"/>
    <w:rsid w:val="005F2CB1"/>
    <w:rsid w:val="005F3025"/>
    <w:rsid w:val="005F5C38"/>
    <w:rsid w:val="005F618C"/>
    <w:rsid w:val="005F70BD"/>
    <w:rsid w:val="0060283C"/>
    <w:rsid w:val="00603C7D"/>
    <w:rsid w:val="00604F14"/>
    <w:rsid w:val="006062A9"/>
    <w:rsid w:val="006068BF"/>
    <w:rsid w:val="00606B74"/>
    <w:rsid w:val="00606E0D"/>
    <w:rsid w:val="00607EBF"/>
    <w:rsid w:val="00611B83"/>
    <w:rsid w:val="00613257"/>
    <w:rsid w:val="006145A3"/>
    <w:rsid w:val="00615C00"/>
    <w:rsid w:val="006208A1"/>
    <w:rsid w:val="00620A71"/>
    <w:rsid w:val="00620D80"/>
    <w:rsid w:val="006234A6"/>
    <w:rsid w:val="0062731D"/>
    <w:rsid w:val="00630001"/>
    <w:rsid w:val="006311B3"/>
    <w:rsid w:val="00631CA0"/>
    <w:rsid w:val="0063284C"/>
    <w:rsid w:val="0063313E"/>
    <w:rsid w:val="0063477C"/>
    <w:rsid w:val="0063543B"/>
    <w:rsid w:val="00636398"/>
    <w:rsid w:val="006368D3"/>
    <w:rsid w:val="006377EC"/>
    <w:rsid w:val="00637BFF"/>
    <w:rsid w:val="0064151F"/>
    <w:rsid w:val="00641533"/>
    <w:rsid w:val="0064208D"/>
    <w:rsid w:val="00643475"/>
    <w:rsid w:val="0064396A"/>
    <w:rsid w:val="0064624E"/>
    <w:rsid w:val="00646C77"/>
    <w:rsid w:val="00650AB9"/>
    <w:rsid w:val="00653268"/>
    <w:rsid w:val="00653463"/>
    <w:rsid w:val="006549AF"/>
    <w:rsid w:val="00655733"/>
    <w:rsid w:val="00655ACD"/>
    <w:rsid w:val="00656A92"/>
    <w:rsid w:val="00656DDE"/>
    <w:rsid w:val="0066011D"/>
    <w:rsid w:val="006607C0"/>
    <w:rsid w:val="006607D9"/>
    <w:rsid w:val="006613A6"/>
    <w:rsid w:val="006627A2"/>
    <w:rsid w:val="006634E6"/>
    <w:rsid w:val="006655EE"/>
    <w:rsid w:val="00665EE9"/>
    <w:rsid w:val="00667EE7"/>
    <w:rsid w:val="0067088E"/>
    <w:rsid w:val="00670922"/>
    <w:rsid w:val="00670BE1"/>
    <w:rsid w:val="0067218F"/>
    <w:rsid w:val="00672399"/>
    <w:rsid w:val="006726D8"/>
    <w:rsid w:val="006741F2"/>
    <w:rsid w:val="00674CC3"/>
    <w:rsid w:val="00675C72"/>
    <w:rsid w:val="006771F9"/>
    <w:rsid w:val="006776D7"/>
    <w:rsid w:val="00681003"/>
    <w:rsid w:val="006817C9"/>
    <w:rsid w:val="00682E1B"/>
    <w:rsid w:val="00683ECE"/>
    <w:rsid w:val="006860DD"/>
    <w:rsid w:val="00695FC2"/>
    <w:rsid w:val="00696949"/>
    <w:rsid w:val="00697052"/>
    <w:rsid w:val="00697F09"/>
    <w:rsid w:val="006A21E8"/>
    <w:rsid w:val="006A3CA6"/>
    <w:rsid w:val="006A46FB"/>
    <w:rsid w:val="006A5E28"/>
    <w:rsid w:val="006A697B"/>
    <w:rsid w:val="006A6D25"/>
    <w:rsid w:val="006A7AFF"/>
    <w:rsid w:val="006B0149"/>
    <w:rsid w:val="006B027C"/>
    <w:rsid w:val="006B05EC"/>
    <w:rsid w:val="006B1816"/>
    <w:rsid w:val="006B2099"/>
    <w:rsid w:val="006B50CF"/>
    <w:rsid w:val="006B6831"/>
    <w:rsid w:val="006C03B8"/>
    <w:rsid w:val="006C539A"/>
    <w:rsid w:val="006C5EC9"/>
    <w:rsid w:val="006C6059"/>
    <w:rsid w:val="006C7522"/>
    <w:rsid w:val="006D0AE9"/>
    <w:rsid w:val="006D1045"/>
    <w:rsid w:val="006D14B0"/>
    <w:rsid w:val="006D1E26"/>
    <w:rsid w:val="006D4082"/>
    <w:rsid w:val="006D42E4"/>
    <w:rsid w:val="006D67EB"/>
    <w:rsid w:val="006D6C78"/>
    <w:rsid w:val="006D6F08"/>
    <w:rsid w:val="006E062C"/>
    <w:rsid w:val="006E10DF"/>
    <w:rsid w:val="006E1DC3"/>
    <w:rsid w:val="006E28B7"/>
    <w:rsid w:val="006E3310"/>
    <w:rsid w:val="006E4E39"/>
    <w:rsid w:val="006E565E"/>
    <w:rsid w:val="006E589D"/>
    <w:rsid w:val="006E673D"/>
    <w:rsid w:val="006E7D3B"/>
    <w:rsid w:val="006F1B70"/>
    <w:rsid w:val="006F341D"/>
    <w:rsid w:val="006F3CDE"/>
    <w:rsid w:val="006F58D4"/>
    <w:rsid w:val="006F6A0F"/>
    <w:rsid w:val="00700EF5"/>
    <w:rsid w:val="007020D0"/>
    <w:rsid w:val="0070217A"/>
    <w:rsid w:val="00702C65"/>
    <w:rsid w:val="0070309E"/>
    <w:rsid w:val="0070346E"/>
    <w:rsid w:val="00704EDB"/>
    <w:rsid w:val="00706101"/>
    <w:rsid w:val="00707072"/>
    <w:rsid w:val="00707D61"/>
    <w:rsid w:val="0071084C"/>
    <w:rsid w:val="00712287"/>
    <w:rsid w:val="00712772"/>
    <w:rsid w:val="007148D3"/>
    <w:rsid w:val="00715B9A"/>
    <w:rsid w:val="00723748"/>
    <w:rsid w:val="00726EA6"/>
    <w:rsid w:val="00727208"/>
    <w:rsid w:val="00727680"/>
    <w:rsid w:val="00733406"/>
    <w:rsid w:val="00733775"/>
    <w:rsid w:val="0073450F"/>
    <w:rsid w:val="007348B1"/>
    <w:rsid w:val="00735278"/>
    <w:rsid w:val="00735A1A"/>
    <w:rsid w:val="007362A6"/>
    <w:rsid w:val="007362AA"/>
    <w:rsid w:val="00736D7D"/>
    <w:rsid w:val="00740B70"/>
    <w:rsid w:val="00740E58"/>
    <w:rsid w:val="0074281F"/>
    <w:rsid w:val="007444EB"/>
    <w:rsid w:val="007445A0"/>
    <w:rsid w:val="0074524B"/>
    <w:rsid w:val="007458F6"/>
    <w:rsid w:val="00745C55"/>
    <w:rsid w:val="00747D8B"/>
    <w:rsid w:val="00750F2F"/>
    <w:rsid w:val="00751228"/>
    <w:rsid w:val="00751EA3"/>
    <w:rsid w:val="00753A65"/>
    <w:rsid w:val="00753BB0"/>
    <w:rsid w:val="00753DFE"/>
    <w:rsid w:val="00754C20"/>
    <w:rsid w:val="007571E1"/>
    <w:rsid w:val="007604B2"/>
    <w:rsid w:val="00764D88"/>
    <w:rsid w:val="00765226"/>
    <w:rsid w:val="00765281"/>
    <w:rsid w:val="007663CF"/>
    <w:rsid w:val="00766BAD"/>
    <w:rsid w:val="007711B3"/>
    <w:rsid w:val="007730BD"/>
    <w:rsid w:val="00773DCE"/>
    <w:rsid w:val="007755F2"/>
    <w:rsid w:val="007763AD"/>
    <w:rsid w:val="00776971"/>
    <w:rsid w:val="0077733C"/>
    <w:rsid w:val="0077774A"/>
    <w:rsid w:val="0078177E"/>
    <w:rsid w:val="00782865"/>
    <w:rsid w:val="0078304C"/>
    <w:rsid w:val="00783673"/>
    <w:rsid w:val="00784B79"/>
    <w:rsid w:val="007853AE"/>
    <w:rsid w:val="00785490"/>
    <w:rsid w:val="00785728"/>
    <w:rsid w:val="007873A6"/>
    <w:rsid w:val="007925EA"/>
    <w:rsid w:val="00792BEC"/>
    <w:rsid w:val="00793A1F"/>
    <w:rsid w:val="00793CD8"/>
    <w:rsid w:val="0079513E"/>
    <w:rsid w:val="007955E5"/>
    <w:rsid w:val="00795C92"/>
    <w:rsid w:val="00796231"/>
    <w:rsid w:val="0079644C"/>
    <w:rsid w:val="00796577"/>
    <w:rsid w:val="00797202"/>
    <w:rsid w:val="007A1208"/>
    <w:rsid w:val="007A1977"/>
    <w:rsid w:val="007A1CB3"/>
    <w:rsid w:val="007A2E29"/>
    <w:rsid w:val="007A306F"/>
    <w:rsid w:val="007A429A"/>
    <w:rsid w:val="007A43A6"/>
    <w:rsid w:val="007A58A6"/>
    <w:rsid w:val="007A70D0"/>
    <w:rsid w:val="007A797F"/>
    <w:rsid w:val="007B0B4F"/>
    <w:rsid w:val="007B3D2D"/>
    <w:rsid w:val="007B50AE"/>
    <w:rsid w:val="007B51DF"/>
    <w:rsid w:val="007B5828"/>
    <w:rsid w:val="007B7E38"/>
    <w:rsid w:val="007C05DD"/>
    <w:rsid w:val="007C3D18"/>
    <w:rsid w:val="007C4C02"/>
    <w:rsid w:val="007C5112"/>
    <w:rsid w:val="007C60BF"/>
    <w:rsid w:val="007C6A07"/>
    <w:rsid w:val="007C75A1"/>
    <w:rsid w:val="007C77A5"/>
    <w:rsid w:val="007C7BBA"/>
    <w:rsid w:val="007D04E5"/>
    <w:rsid w:val="007D2697"/>
    <w:rsid w:val="007D2CBA"/>
    <w:rsid w:val="007D30EA"/>
    <w:rsid w:val="007D5901"/>
    <w:rsid w:val="007D5E4D"/>
    <w:rsid w:val="007D7526"/>
    <w:rsid w:val="007E0CD3"/>
    <w:rsid w:val="007E3BE9"/>
    <w:rsid w:val="007E4610"/>
    <w:rsid w:val="007E4715"/>
    <w:rsid w:val="007E505B"/>
    <w:rsid w:val="007E7091"/>
    <w:rsid w:val="007E7608"/>
    <w:rsid w:val="007E7C85"/>
    <w:rsid w:val="007E7F55"/>
    <w:rsid w:val="007F39FE"/>
    <w:rsid w:val="007F3A94"/>
    <w:rsid w:val="007F57DD"/>
    <w:rsid w:val="00800824"/>
    <w:rsid w:val="008012C8"/>
    <w:rsid w:val="008019BB"/>
    <w:rsid w:val="00801D46"/>
    <w:rsid w:val="00803FAE"/>
    <w:rsid w:val="008042B9"/>
    <w:rsid w:val="00805606"/>
    <w:rsid w:val="0080605F"/>
    <w:rsid w:val="0080719C"/>
    <w:rsid w:val="00807786"/>
    <w:rsid w:val="00811C3C"/>
    <w:rsid w:val="00811CD3"/>
    <w:rsid w:val="00811FCB"/>
    <w:rsid w:val="008132CA"/>
    <w:rsid w:val="008158D6"/>
    <w:rsid w:val="00817196"/>
    <w:rsid w:val="00817B74"/>
    <w:rsid w:val="00817C18"/>
    <w:rsid w:val="0082011F"/>
    <w:rsid w:val="008235DB"/>
    <w:rsid w:val="008238F4"/>
    <w:rsid w:val="00824AB4"/>
    <w:rsid w:val="00825C42"/>
    <w:rsid w:val="00825D25"/>
    <w:rsid w:val="00827D6F"/>
    <w:rsid w:val="00831960"/>
    <w:rsid w:val="00831A67"/>
    <w:rsid w:val="00834A20"/>
    <w:rsid w:val="008376AC"/>
    <w:rsid w:val="00840D88"/>
    <w:rsid w:val="008416BD"/>
    <w:rsid w:val="008420AA"/>
    <w:rsid w:val="00842946"/>
    <w:rsid w:val="008444E8"/>
    <w:rsid w:val="008449FF"/>
    <w:rsid w:val="00844E80"/>
    <w:rsid w:val="00846FE7"/>
    <w:rsid w:val="00847B70"/>
    <w:rsid w:val="00852839"/>
    <w:rsid w:val="0085476F"/>
    <w:rsid w:val="00854F97"/>
    <w:rsid w:val="008555F5"/>
    <w:rsid w:val="00856911"/>
    <w:rsid w:val="00856F16"/>
    <w:rsid w:val="00862A09"/>
    <w:rsid w:val="00863C28"/>
    <w:rsid w:val="00865D1E"/>
    <w:rsid w:val="00867691"/>
    <w:rsid w:val="008677FD"/>
    <w:rsid w:val="008706D4"/>
    <w:rsid w:val="00870F8A"/>
    <w:rsid w:val="008719A4"/>
    <w:rsid w:val="00871D23"/>
    <w:rsid w:val="00871FAA"/>
    <w:rsid w:val="00873CFD"/>
    <w:rsid w:val="00874312"/>
    <w:rsid w:val="0087437C"/>
    <w:rsid w:val="00875CD7"/>
    <w:rsid w:val="00875DDF"/>
    <w:rsid w:val="00876B4D"/>
    <w:rsid w:val="00877F18"/>
    <w:rsid w:val="008821E1"/>
    <w:rsid w:val="00885688"/>
    <w:rsid w:val="00885B3F"/>
    <w:rsid w:val="00885B76"/>
    <w:rsid w:val="00893B38"/>
    <w:rsid w:val="00893E4B"/>
    <w:rsid w:val="00894A88"/>
    <w:rsid w:val="00895386"/>
    <w:rsid w:val="00896263"/>
    <w:rsid w:val="008A092D"/>
    <w:rsid w:val="008A1C27"/>
    <w:rsid w:val="008A21FF"/>
    <w:rsid w:val="008A276D"/>
    <w:rsid w:val="008A2CE2"/>
    <w:rsid w:val="008A30AC"/>
    <w:rsid w:val="008A42A6"/>
    <w:rsid w:val="008A44B8"/>
    <w:rsid w:val="008A51A8"/>
    <w:rsid w:val="008A54C7"/>
    <w:rsid w:val="008A77D8"/>
    <w:rsid w:val="008B0483"/>
    <w:rsid w:val="008B120C"/>
    <w:rsid w:val="008B42B3"/>
    <w:rsid w:val="008B4D41"/>
    <w:rsid w:val="008B4F69"/>
    <w:rsid w:val="008B51A0"/>
    <w:rsid w:val="008B592A"/>
    <w:rsid w:val="008B6AD3"/>
    <w:rsid w:val="008B749C"/>
    <w:rsid w:val="008B7B5C"/>
    <w:rsid w:val="008C0C99"/>
    <w:rsid w:val="008C2017"/>
    <w:rsid w:val="008C32BB"/>
    <w:rsid w:val="008C4023"/>
    <w:rsid w:val="008C4958"/>
    <w:rsid w:val="008C4BAA"/>
    <w:rsid w:val="008C6AE8"/>
    <w:rsid w:val="008C7573"/>
    <w:rsid w:val="008D33BB"/>
    <w:rsid w:val="008D34F1"/>
    <w:rsid w:val="008D39D8"/>
    <w:rsid w:val="008D5B6B"/>
    <w:rsid w:val="008D6D1A"/>
    <w:rsid w:val="008D78FC"/>
    <w:rsid w:val="008E065E"/>
    <w:rsid w:val="008E0927"/>
    <w:rsid w:val="008E1909"/>
    <w:rsid w:val="008F1EAB"/>
    <w:rsid w:val="008F24F8"/>
    <w:rsid w:val="008F2C20"/>
    <w:rsid w:val="008F33DC"/>
    <w:rsid w:val="008F3BEE"/>
    <w:rsid w:val="008F4593"/>
    <w:rsid w:val="008F477F"/>
    <w:rsid w:val="00902350"/>
    <w:rsid w:val="0090336B"/>
    <w:rsid w:val="0090435A"/>
    <w:rsid w:val="009053AA"/>
    <w:rsid w:val="00906939"/>
    <w:rsid w:val="0091028D"/>
    <w:rsid w:val="00910B7D"/>
    <w:rsid w:val="00911DFB"/>
    <w:rsid w:val="00912EDB"/>
    <w:rsid w:val="009139D9"/>
    <w:rsid w:val="00913A7C"/>
    <w:rsid w:val="00913F3F"/>
    <w:rsid w:val="00914950"/>
    <w:rsid w:val="00914AD8"/>
    <w:rsid w:val="00914DB8"/>
    <w:rsid w:val="00915239"/>
    <w:rsid w:val="00916079"/>
    <w:rsid w:val="0091626D"/>
    <w:rsid w:val="00917CE9"/>
    <w:rsid w:val="00920771"/>
    <w:rsid w:val="0092099C"/>
    <w:rsid w:val="00920BF2"/>
    <w:rsid w:val="00922010"/>
    <w:rsid w:val="009248E5"/>
    <w:rsid w:val="009274AF"/>
    <w:rsid w:val="00931198"/>
    <w:rsid w:val="00931AF9"/>
    <w:rsid w:val="00931BD9"/>
    <w:rsid w:val="009368F3"/>
    <w:rsid w:val="009370DA"/>
    <w:rsid w:val="0093735F"/>
    <w:rsid w:val="009407B1"/>
    <w:rsid w:val="00941011"/>
    <w:rsid w:val="00941636"/>
    <w:rsid w:val="00943151"/>
    <w:rsid w:val="00943742"/>
    <w:rsid w:val="00945C05"/>
    <w:rsid w:val="00945C89"/>
    <w:rsid w:val="00946945"/>
    <w:rsid w:val="00947713"/>
    <w:rsid w:val="0094794B"/>
    <w:rsid w:val="00950DE7"/>
    <w:rsid w:val="00953920"/>
    <w:rsid w:val="00953D47"/>
    <w:rsid w:val="0095436F"/>
    <w:rsid w:val="00955BBE"/>
    <w:rsid w:val="0095681E"/>
    <w:rsid w:val="00956B13"/>
    <w:rsid w:val="009572D4"/>
    <w:rsid w:val="00961921"/>
    <w:rsid w:val="00962311"/>
    <w:rsid w:val="00962B0F"/>
    <w:rsid w:val="0096430A"/>
    <w:rsid w:val="0096554B"/>
    <w:rsid w:val="0096561B"/>
    <w:rsid w:val="009657FF"/>
    <w:rsid w:val="0096584A"/>
    <w:rsid w:val="00967FDA"/>
    <w:rsid w:val="009703EA"/>
    <w:rsid w:val="009714D3"/>
    <w:rsid w:val="00971F08"/>
    <w:rsid w:val="00972F1E"/>
    <w:rsid w:val="0097365E"/>
    <w:rsid w:val="0097398E"/>
    <w:rsid w:val="00974B43"/>
    <w:rsid w:val="0097603D"/>
    <w:rsid w:val="00976949"/>
    <w:rsid w:val="00980477"/>
    <w:rsid w:val="00980F16"/>
    <w:rsid w:val="00982F84"/>
    <w:rsid w:val="00985253"/>
    <w:rsid w:val="009853B3"/>
    <w:rsid w:val="00990630"/>
    <w:rsid w:val="00991761"/>
    <w:rsid w:val="00993818"/>
    <w:rsid w:val="00993A21"/>
    <w:rsid w:val="00994DCA"/>
    <w:rsid w:val="009960EC"/>
    <w:rsid w:val="00996604"/>
    <w:rsid w:val="00996B99"/>
    <w:rsid w:val="009970DD"/>
    <w:rsid w:val="009A0FBA"/>
    <w:rsid w:val="009A1601"/>
    <w:rsid w:val="009A1AA4"/>
    <w:rsid w:val="009A3289"/>
    <w:rsid w:val="009A462D"/>
    <w:rsid w:val="009A5CBA"/>
    <w:rsid w:val="009A618F"/>
    <w:rsid w:val="009B1F30"/>
    <w:rsid w:val="009B3AC2"/>
    <w:rsid w:val="009B3F45"/>
    <w:rsid w:val="009B41B8"/>
    <w:rsid w:val="009B4C4E"/>
    <w:rsid w:val="009B4DF4"/>
    <w:rsid w:val="009B564E"/>
    <w:rsid w:val="009B65EB"/>
    <w:rsid w:val="009B7E87"/>
    <w:rsid w:val="009C1E53"/>
    <w:rsid w:val="009C403E"/>
    <w:rsid w:val="009C5B80"/>
    <w:rsid w:val="009D03C2"/>
    <w:rsid w:val="009D1662"/>
    <w:rsid w:val="009D2DD9"/>
    <w:rsid w:val="009D4FF0"/>
    <w:rsid w:val="009D6BC5"/>
    <w:rsid w:val="009D703C"/>
    <w:rsid w:val="009D718F"/>
    <w:rsid w:val="009D7314"/>
    <w:rsid w:val="009D75E6"/>
    <w:rsid w:val="009D7BA4"/>
    <w:rsid w:val="009E068F"/>
    <w:rsid w:val="009E1472"/>
    <w:rsid w:val="009E14E0"/>
    <w:rsid w:val="009E35DB"/>
    <w:rsid w:val="009E47A3"/>
    <w:rsid w:val="009E4DD1"/>
    <w:rsid w:val="009E7D08"/>
    <w:rsid w:val="009F0799"/>
    <w:rsid w:val="009F08F3"/>
    <w:rsid w:val="009F0DCE"/>
    <w:rsid w:val="009F32F7"/>
    <w:rsid w:val="009F344F"/>
    <w:rsid w:val="00A0141E"/>
    <w:rsid w:val="00A048A8"/>
    <w:rsid w:val="00A04F49"/>
    <w:rsid w:val="00A056F4"/>
    <w:rsid w:val="00A074E1"/>
    <w:rsid w:val="00A07984"/>
    <w:rsid w:val="00A11BDF"/>
    <w:rsid w:val="00A13E54"/>
    <w:rsid w:val="00A14150"/>
    <w:rsid w:val="00A15649"/>
    <w:rsid w:val="00A1679C"/>
    <w:rsid w:val="00A17F63"/>
    <w:rsid w:val="00A2052C"/>
    <w:rsid w:val="00A20E86"/>
    <w:rsid w:val="00A2193B"/>
    <w:rsid w:val="00A21EB5"/>
    <w:rsid w:val="00A2351A"/>
    <w:rsid w:val="00A241E4"/>
    <w:rsid w:val="00A25F64"/>
    <w:rsid w:val="00A264A9"/>
    <w:rsid w:val="00A27785"/>
    <w:rsid w:val="00A30187"/>
    <w:rsid w:val="00A31418"/>
    <w:rsid w:val="00A3448A"/>
    <w:rsid w:val="00A35E25"/>
    <w:rsid w:val="00A36297"/>
    <w:rsid w:val="00A36FBA"/>
    <w:rsid w:val="00A41E2B"/>
    <w:rsid w:val="00A437CD"/>
    <w:rsid w:val="00A45B74"/>
    <w:rsid w:val="00A45F53"/>
    <w:rsid w:val="00A4778A"/>
    <w:rsid w:val="00A50ABE"/>
    <w:rsid w:val="00A52051"/>
    <w:rsid w:val="00A5241F"/>
    <w:rsid w:val="00A5270D"/>
    <w:rsid w:val="00A5296C"/>
    <w:rsid w:val="00A52E1D"/>
    <w:rsid w:val="00A52FC9"/>
    <w:rsid w:val="00A531B5"/>
    <w:rsid w:val="00A55712"/>
    <w:rsid w:val="00A57122"/>
    <w:rsid w:val="00A6101F"/>
    <w:rsid w:val="00A61499"/>
    <w:rsid w:val="00A621B4"/>
    <w:rsid w:val="00A62A77"/>
    <w:rsid w:val="00A63483"/>
    <w:rsid w:val="00A657D7"/>
    <w:rsid w:val="00A660AC"/>
    <w:rsid w:val="00A66F55"/>
    <w:rsid w:val="00A670CC"/>
    <w:rsid w:val="00A67E6C"/>
    <w:rsid w:val="00A702A8"/>
    <w:rsid w:val="00A71B99"/>
    <w:rsid w:val="00A739D0"/>
    <w:rsid w:val="00A761D4"/>
    <w:rsid w:val="00A77EC4"/>
    <w:rsid w:val="00A861CD"/>
    <w:rsid w:val="00A862AC"/>
    <w:rsid w:val="00A86FE1"/>
    <w:rsid w:val="00A92879"/>
    <w:rsid w:val="00A93B5C"/>
    <w:rsid w:val="00A9442A"/>
    <w:rsid w:val="00A94810"/>
    <w:rsid w:val="00A94AA4"/>
    <w:rsid w:val="00AA016F"/>
    <w:rsid w:val="00AA0851"/>
    <w:rsid w:val="00AA1ED6"/>
    <w:rsid w:val="00AA353F"/>
    <w:rsid w:val="00AA51D6"/>
    <w:rsid w:val="00AA7F7C"/>
    <w:rsid w:val="00AB0BC8"/>
    <w:rsid w:val="00AB11CA"/>
    <w:rsid w:val="00AB14D9"/>
    <w:rsid w:val="00AB1BDF"/>
    <w:rsid w:val="00AB4AB8"/>
    <w:rsid w:val="00AB4E21"/>
    <w:rsid w:val="00AB655E"/>
    <w:rsid w:val="00AC007F"/>
    <w:rsid w:val="00AC0DCD"/>
    <w:rsid w:val="00AC1FAD"/>
    <w:rsid w:val="00AC221E"/>
    <w:rsid w:val="00AC2ECD"/>
    <w:rsid w:val="00AC3119"/>
    <w:rsid w:val="00AC40E8"/>
    <w:rsid w:val="00AC49FB"/>
    <w:rsid w:val="00AC5A10"/>
    <w:rsid w:val="00AC5CB8"/>
    <w:rsid w:val="00AC6E8A"/>
    <w:rsid w:val="00AD0AA3"/>
    <w:rsid w:val="00AD3F94"/>
    <w:rsid w:val="00AD4A5A"/>
    <w:rsid w:val="00AD5E21"/>
    <w:rsid w:val="00AE27AC"/>
    <w:rsid w:val="00AE3743"/>
    <w:rsid w:val="00AE40E0"/>
    <w:rsid w:val="00AE4DBA"/>
    <w:rsid w:val="00AE4F07"/>
    <w:rsid w:val="00AE5B89"/>
    <w:rsid w:val="00AE6DAF"/>
    <w:rsid w:val="00AF1C47"/>
    <w:rsid w:val="00AF1C5D"/>
    <w:rsid w:val="00AF42D7"/>
    <w:rsid w:val="00AF4559"/>
    <w:rsid w:val="00AF50E4"/>
    <w:rsid w:val="00AF671B"/>
    <w:rsid w:val="00B006FE"/>
    <w:rsid w:val="00B007CB"/>
    <w:rsid w:val="00B00A73"/>
    <w:rsid w:val="00B02AA9"/>
    <w:rsid w:val="00B02FA3"/>
    <w:rsid w:val="00B03574"/>
    <w:rsid w:val="00B03C24"/>
    <w:rsid w:val="00B05084"/>
    <w:rsid w:val="00B05BE4"/>
    <w:rsid w:val="00B06AFA"/>
    <w:rsid w:val="00B10439"/>
    <w:rsid w:val="00B1345E"/>
    <w:rsid w:val="00B156BD"/>
    <w:rsid w:val="00B157F9"/>
    <w:rsid w:val="00B20256"/>
    <w:rsid w:val="00B204EC"/>
    <w:rsid w:val="00B20D09"/>
    <w:rsid w:val="00B22CE8"/>
    <w:rsid w:val="00B241B8"/>
    <w:rsid w:val="00B25C79"/>
    <w:rsid w:val="00B2763F"/>
    <w:rsid w:val="00B27AAC"/>
    <w:rsid w:val="00B30929"/>
    <w:rsid w:val="00B312B8"/>
    <w:rsid w:val="00B34661"/>
    <w:rsid w:val="00B372AA"/>
    <w:rsid w:val="00B40445"/>
    <w:rsid w:val="00B41888"/>
    <w:rsid w:val="00B424A0"/>
    <w:rsid w:val="00B43411"/>
    <w:rsid w:val="00B43FAE"/>
    <w:rsid w:val="00B45A52"/>
    <w:rsid w:val="00B46175"/>
    <w:rsid w:val="00B5166E"/>
    <w:rsid w:val="00B5204A"/>
    <w:rsid w:val="00B55A50"/>
    <w:rsid w:val="00B55CB0"/>
    <w:rsid w:val="00B55FC7"/>
    <w:rsid w:val="00B6188F"/>
    <w:rsid w:val="00B64693"/>
    <w:rsid w:val="00B664C7"/>
    <w:rsid w:val="00B67691"/>
    <w:rsid w:val="00B72A79"/>
    <w:rsid w:val="00B7399E"/>
    <w:rsid w:val="00B739F6"/>
    <w:rsid w:val="00B74088"/>
    <w:rsid w:val="00B8150E"/>
    <w:rsid w:val="00B81A6C"/>
    <w:rsid w:val="00B81C6D"/>
    <w:rsid w:val="00B85DE5"/>
    <w:rsid w:val="00B86CBD"/>
    <w:rsid w:val="00B90F73"/>
    <w:rsid w:val="00B91C28"/>
    <w:rsid w:val="00B92AB0"/>
    <w:rsid w:val="00B93B59"/>
    <w:rsid w:val="00B9406A"/>
    <w:rsid w:val="00B96849"/>
    <w:rsid w:val="00BA2280"/>
    <w:rsid w:val="00BA2A08"/>
    <w:rsid w:val="00BA3F2C"/>
    <w:rsid w:val="00BA46FD"/>
    <w:rsid w:val="00BA56D2"/>
    <w:rsid w:val="00BA76E0"/>
    <w:rsid w:val="00BB1E01"/>
    <w:rsid w:val="00BB2A25"/>
    <w:rsid w:val="00BB3F8E"/>
    <w:rsid w:val="00BB51E9"/>
    <w:rsid w:val="00BC0417"/>
    <w:rsid w:val="00BC0FDC"/>
    <w:rsid w:val="00BC1EE0"/>
    <w:rsid w:val="00BC3053"/>
    <w:rsid w:val="00BC4D2E"/>
    <w:rsid w:val="00BC4F9D"/>
    <w:rsid w:val="00BD0D99"/>
    <w:rsid w:val="00BD3889"/>
    <w:rsid w:val="00BD463C"/>
    <w:rsid w:val="00BD48AC"/>
    <w:rsid w:val="00BD5F1A"/>
    <w:rsid w:val="00BE1234"/>
    <w:rsid w:val="00BE1AF6"/>
    <w:rsid w:val="00BE23E8"/>
    <w:rsid w:val="00BE2FA6"/>
    <w:rsid w:val="00BE333F"/>
    <w:rsid w:val="00BE4A6A"/>
    <w:rsid w:val="00BE7406"/>
    <w:rsid w:val="00BE7603"/>
    <w:rsid w:val="00BE7E48"/>
    <w:rsid w:val="00BF00A3"/>
    <w:rsid w:val="00BF26B4"/>
    <w:rsid w:val="00BF3279"/>
    <w:rsid w:val="00BF3B64"/>
    <w:rsid w:val="00BF3D82"/>
    <w:rsid w:val="00BF4F69"/>
    <w:rsid w:val="00BF74C7"/>
    <w:rsid w:val="00C015F1"/>
    <w:rsid w:val="00C0182A"/>
    <w:rsid w:val="00C01F33"/>
    <w:rsid w:val="00C02B36"/>
    <w:rsid w:val="00C02CC6"/>
    <w:rsid w:val="00C040F7"/>
    <w:rsid w:val="00C041B0"/>
    <w:rsid w:val="00C044AB"/>
    <w:rsid w:val="00C05706"/>
    <w:rsid w:val="00C07377"/>
    <w:rsid w:val="00C07752"/>
    <w:rsid w:val="00C10478"/>
    <w:rsid w:val="00C11F00"/>
    <w:rsid w:val="00C12107"/>
    <w:rsid w:val="00C1291A"/>
    <w:rsid w:val="00C1369D"/>
    <w:rsid w:val="00C13F69"/>
    <w:rsid w:val="00C14D4B"/>
    <w:rsid w:val="00C154BB"/>
    <w:rsid w:val="00C223D0"/>
    <w:rsid w:val="00C23CB9"/>
    <w:rsid w:val="00C24111"/>
    <w:rsid w:val="00C24345"/>
    <w:rsid w:val="00C279B5"/>
    <w:rsid w:val="00C27C45"/>
    <w:rsid w:val="00C27FA7"/>
    <w:rsid w:val="00C3032A"/>
    <w:rsid w:val="00C32BC7"/>
    <w:rsid w:val="00C34B7F"/>
    <w:rsid w:val="00C3719D"/>
    <w:rsid w:val="00C44933"/>
    <w:rsid w:val="00C45C10"/>
    <w:rsid w:val="00C51490"/>
    <w:rsid w:val="00C517A1"/>
    <w:rsid w:val="00C547D4"/>
    <w:rsid w:val="00C54995"/>
    <w:rsid w:val="00C54D41"/>
    <w:rsid w:val="00C579E1"/>
    <w:rsid w:val="00C57CEC"/>
    <w:rsid w:val="00C60783"/>
    <w:rsid w:val="00C63103"/>
    <w:rsid w:val="00C64672"/>
    <w:rsid w:val="00C64EA0"/>
    <w:rsid w:val="00C662F9"/>
    <w:rsid w:val="00C676B7"/>
    <w:rsid w:val="00C70697"/>
    <w:rsid w:val="00C71CD3"/>
    <w:rsid w:val="00C71D8B"/>
    <w:rsid w:val="00C72136"/>
    <w:rsid w:val="00C72EF4"/>
    <w:rsid w:val="00C75D2F"/>
    <w:rsid w:val="00C766C4"/>
    <w:rsid w:val="00C767BE"/>
    <w:rsid w:val="00C76BE1"/>
    <w:rsid w:val="00C76E3C"/>
    <w:rsid w:val="00C81568"/>
    <w:rsid w:val="00C84304"/>
    <w:rsid w:val="00C86033"/>
    <w:rsid w:val="00C8711D"/>
    <w:rsid w:val="00C9027A"/>
    <w:rsid w:val="00C9068E"/>
    <w:rsid w:val="00C90DCA"/>
    <w:rsid w:val="00C913ED"/>
    <w:rsid w:val="00C9271E"/>
    <w:rsid w:val="00C92DDC"/>
    <w:rsid w:val="00C93C4B"/>
    <w:rsid w:val="00C944AB"/>
    <w:rsid w:val="00C94950"/>
    <w:rsid w:val="00C95B40"/>
    <w:rsid w:val="00C966C7"/>
    <w:rsid w:val="00CA1ED8"/>
    <w:rsid w:val="00CA6512"/>
    <w:rsid w:val="00CB1616"/>
    <w:rsid w:val="00CB1D37"/>
    <w:rsid w:val="00CB1F63"/>
    <w:rsid w:val="00CB2632"/>
    <w:rsid w:val="00CB7170"/>
    <w:rsid w:val="00CB7416"/>
    <w:rsid w:val="00CC040E"/>
    <w:rsid w:val="00CC0EEB"/>
    <w:rsid w:val="00CC111F"/>
    <w:rsid w:val="00CC1A74"/>
    <w:rsid w:val="00CC2011"/>
    <w:rsid w:val="00CC290E"/>
    <w:rsid w:val="00CC3EA0"/>
    <w:rsid w:val="00CC656D"/>
    <w:rsid w:val="00CC7B45"/>
    <w:rsid w:val="00CD1188"/>
    <w:rsid w:val="00CD2E57"/>
    <w:rsid w:val="00CD2ED1"/>
    <w:rsid w:val="00CD337B"/>
    <w:rsid w:val="00CD3772"/>
    <w:rsid w:val="00CE0424"/>
    <w:rsid w:val="00CE7561"/>
    <w:rsid w:val="00CE7DC7"/>
    <w:rsid w:val="00CF0652"/>
    <w:rsid w:val="00CF1354"/>
    <w:rsid w:val="00CF3544"/>
    <w:rsid w:val="00CF3A3F"/>
    <w:rsid w:val="00CF3B1F"/>
    <w:rsid w:val="00CF3BF6"/>
    <w:rsid w:val="00CF3C6C"/>
    <w:rsid w:val="00CF4E23"/>
    <w:rsid w:val="00CF625B"/>
    <w:rsid w:val="00CF687E"/>
    <w:rsid w:val="00D00789"/>
    <w:rsid w:val="00D03093"/>
    <w:rsid w:val="00D0349B"/>
    <w:rsid w:val="00D04008"/>
    <w:rsid w:val="00D06D99"/>
    <w:rsid w:val="00D10249"/>
    <w:rsid w:val="00D115C3"/>
    <w:rsid w:val="00D11897"/>
    <w:rsid w:val="00D13135"/>
    <w:rsid w:val="00D13E4E"/>
    <w:rsid w:val="00D147D7"/>
    <w:rsid w:val="00D160CE"/>
    <w:rsid w:val="00D239A7"/>
    <w:rsid w:val="00D23F47"/>
    <w:rsid w:val="00D323F0"/>
    <w:rsid w:val="00D3256A"/>
    <w:rsid w:val="00D32FC6"/>
    <w:rsid w:val="00D34B7E"/>
    <w:rsid w:val="00D35771"/>
    <w:rsid w:val="00D35EE6"/>
    <w:rsid w:val="00D36E71"/>
    <w:rsid w:val="00D37D87"/>
    <w:rsid w:val="00D409AE"/>
    <w:rsid w:val="00D40B33"/>
    <w:rsid w:val="00D4318F"/>
    <w:rsid w:val="00D438BF"/>
    <w:rsid w:val="00D440F8"/>
    <w:rsid w:val="00D44B19"/>
    <w:rsid w:val="00D45101"/>
    <w:rsid w:val="00D45183"/>
    <w:rsid w:val="00D45B0B"/>
    <w:rsid w:val="00D46852"/>
    <w:rsid w:val="00D47D7E"/>
    <w:rsid w:val="00D50109"/>
    <w:rsid w:val="00D50F97"/>
    <w:rsid w:val="00D52DAE"/>
    <w:rsid w:val="00D546FF"/>
    <w:rsid w:val="00D5578E"/>
    <w:rsid w:val="00D55AD5"/>
    <w:rsid w:val="00D576CA"/>
    <w:rsid w:val="00D61AF5"/>
    <w:rsid w:val="00D626A4"/>
    <w:rsid w:val="00D62862"/>
    <w:rsid w:val="00D6311B"/>
    <w:rsid w:val="00D63EB3"/>
    <w:rsid w:val="00D652B5"/>
    <w:rsid w:val="00D65E10"/>
    <w:rsid w:val="00D66155"/>
    <w:rsid w:val="00D708B0"/>
    <w:rsid w:val="00D71E9A"/>
    <w:rsid w:val="00D74068"/>
    <w:rsid w:val="00D7503D"/>
    <w:rsid w:val="00D76849"/>
    <w:rsid w:val="00D77B1D"/>
    <w:rsid w:val="00D8021F"/>
    <w:rsid w:val="00D80383"/>
    <w:rsid w:val="00D80450"/>
    <w:rsid w:val="00D823C6"/>
    <w:rsid w:val="00D82A48"/>
    <w:rsid w:val="00D82DFB"/>
    <w:rsid w:val="00D85773"/>
    <w:rsid w:val="00D86CA3"/>
    <w:rsid w:val="00D86FA4"/>
    <w:rsid w:val="00D871CE"/>
    <w:rsid w:val="00D9196D"/>
    <w:rsid w:val="00D92982"/>
    <w:rsid w:val="00D94336"/>
    <w:rsid w:val="00D9462D"/>
    <w:rsid w:val="00D95900"/>
    <w:rsid w:val="00D97FCE"/>
    <w:rsid w:val="00DA1400"/>
    <w:rsid w:val="00DA2784"/>
    <w:rsid w:val="00DA305E"/>
    <w:rsid w:val="00DA4934"/>
    <w:rsid w:val="00DA4D60"/>
    <w:rsid w:val="00DA5417"/>
    <w:rsid w:val="00DA56E8"/>
    <w:rsid w:val="00DA5EBB"/>
    <w:rsid w:val="00DB0A9F"/>
    <w:rsid w:val="00DB377D"/>
    <w:rsid w:val="00DB7BFC"/>
    <w:rsid w:val="00DC03A9"/>
    <w:rsid w:val="00DC1921"/>
    <w:rsid w:val="00DC2D36"/>
    <w:rsid w:val="00DC538A"/>
    <w:rsid w:val="00DC53EF"/>
    <w:rsid w:val="00DC711E"/>
    <w:rsid w:val="00DD0DCF"/>
    <w:rsid w:val="00DD35A1"/>
    <w:rsid w:val="00DD6508"/>
    <w:rsid w:val="00DE0857"/>
    <w:rsid w:val="00DE0DE8"/>
    <w:rsid w:val="00DE5608"/>
    <w:rsid w:val="00DE58D0"/>
    <w:rsid w:val="00DE654F"/>
    <w:rsid w:val="00DE6BBD"/>
    <w:rsid w:val="00DF0B6E"/>
    <w:rsid w:val="00DF15E0"/>
    <w:rsid w:val="00DF259C"/>
    <w:rsid w:val="00DF37A0"/>
    <w:rsid w:val="00DF37B2"/>
    <w:rsid w:val="00DF5F16"/>
    <w:rsid w:val="00DF6DD3"/>
    <w:rsid w:val="00DF7225"/>
    <w:rsid w:val="00DF73DB"/>
    <w:rsid w:val="00E02DFF"/>
    <w:rsid w:val="00E0312B"/>
    <w:rsid w:val="00E03179"/>
    <w:rsid w:val="00E070BB"/>
    <w:rsid w:val="00E074BE"/>
    <w:rsid w:val="00E1019C"/>
    <w:rsid w:val="00E10A03"/>
    <w:rsid w:val="00E10A17"/>
    <w:rsid w:val="00E10A68"/>
    <w:rsid w:val="00E110E7"/>
    <w:rsid w:val="00E11B20"/>
    <w:rsid w:val="00E1346C"/>
    <w:rsid w:val="00E16BF6"/>
    <w:rsid w:val="00E17E30"/>
    <w:rsid w:val="00E17FA2"/>
    <w:rsid w:val="00E20A02"/>
    <w:rsid w:val="00E20DFF"/>
    <w:rsid w:val="00E2183F"/>
    <w:rsid w:val="00E21E42"/>
    <w:rsid w:val="00E22330"/>
    <w:rsid w:val="00E22604"/>
    <w:rsid w:val="00E236B0"/>
    <w:rsid w:val="00E26DCC"/>
    <w:rsid w:val="00E30B5A"/>
    <w:rsid w:val="00E3123D"/>
    <w:rsid w:val="00E31461"/>
    <w:rsid w:val="00E31D43"/>
    <w:rsid w:val="00E32608"/>
    <w:rsid w:val="00E34188"/>
    <w:rsid w:val="00E34B6E"/>
    <w:rsid w:val="00E35559"/>
    <w:rsid w:val="00E35684"/>
    <w:rsid w:val="00E3723A"/>
    <w:rsid w:val="00E37860"/>
    <w:rsid w:val="00E40CD0"/>
    <w:rsid w:val="00E41903"/>
    <w:rsid w:val="00E446F1"/>
    <w:rsid w:val="00E454B3"/>
    <w:rsid w:val="00E46293"/>
    <w:rsid w:val="00E46886"/>
    <w:rsid w:val="00E47AEF"/>
    <w:rsid w:val="00E47FB2"/>
    <w:rsid w:val="00E50518"/>
    <w:rsid w:val="00E5268A"/>
    <w:rsid w:val="00E533D1"/>
    <w:rsid w:val="00E53B75"/>
    <w:rsid w:val="00E54E3B"/>
    <w:rsid w:val="00E55FEE"/>
    <w:rsid w:val="00E57565"/>
    <w:rsid w:val="00E57786"/>
    <w:rsid w:val="00E57B6C"/>
    <w:rsid w:val="00E57FEF"/>
    <w:rsid w:val="00E60642"/>
    <w:rsid w:val="00E63838"/>
    <w:rsid w:val="00E64434"/>
    <w:rsid w:val="00E65F40"/>
    <w:rsid w:val="00E666F2"/>
    <w:rsid w:val="00E66F4C"/>
    <w:rsid w:val="00E67C51"/>
    <w:rsid w:val="00E709AA"/>
    <w:rsid w:val="00E72284"/>
    <w:rsid w:val="00E72EFC"/>
    <w:rsid w:val="00E74C65"/>
    <w:rsid w:val="00E758EC"/>
    <w:rsid w:val="00E8234C"/>
    <w:rsid w:val="00E83AA9"/>
    <w:rsid w:val="00E83E88"/>
    <w:rsid w:val="00E845A5"/>
    <w:rsid w:val="00E85928"/>
    <w:rsid w:val="00E8726F"/>
    <w:rsid w:val="00E875C6"/>
    <w:rsid w:val="00E87822"/>
    <w:rsid w:val="00E90395"/>
    <w:rsid w:val="00E90E49"/>
    <w:rsid w:val="00E917F9"/>
    <w:rsid w:val="00E9291C"/>
    <w:rsid w:val="00E92D31"/>
    <w:rsid w:val="00E93FFE"/>
    <w:rsid w:val="00E94F8A"/>
    <w:rsid w:val="00EA0293"/>
    <w:rsid w:val="00EA05B8"/>
    <w:rsid w:val="00EA20FD"/>
    <w:rsid w:val="00EA3ACE"/>
    <w:rsid w:val="00EA3BC6"/>
    <w:rsid w:val="00EA4DF9"/>
    <w:rsid w:val="00EA5EF2"/>
    <w:rsid w:val="00EA7A41"/>
    <w:rsid w:val="00EB077B"/>
    <w:rsid w:val="00EB100F"/>
    <w:rsid w:val="00EB1886"/>
    <w:rsid w:val="00EB1F85"/>
    <w:rsid w:val="00EB4C4A"/>
    <w:rsid w:val="00EB4EA2"/>
    <w:rsid w:val="00EB6517"/>
    <w:rsid w:val="00EB7108"/>
    <w:rsid w:val="00EC0B61"/>
    <w:rsid w:val="00EC0D2A"/>
    <w:rsid w:val="00EC27C6"/>
    <w:rsid w:val="00EC330B"/>
    <w:rsid w:val="00EC4207"/>
    <w:rsid w:val="00EC4559"/>
    <w:rsid w:val="00EC47FB"/>
    <w:rsid w:val="00EC5653"/>
    <w:rsid w:val="00EC700C"/>
    <w:rsid w:val="00EC71CE"/>
    <w:rsid w:val="00ED1006"/>
    <w:rsid w:val="00ED1D51"/>
    <w:rsid w:val="00ED1DF8"/>
    <w:rsid w:val="00ED1FCD"/>
    <w:rsid w:val="00ED21F8"/>
    <w:rsid w:val="00ED5007"/>
    <w:rsid w:val="00EE143D"/>
    <w:rsid w:val="00EE1E2F"/>
    <w:rsid w:val="00EE2BCD"/>
    <w:rsid w:val="00EE6B53"/>
    <w:rsid w:val="00EF1577"/>
    <w:rsid w:val="00EF18FE"/>
    <w:rsid w:val="00EF5565"/>
    <w:rsid w:val="00EF5787"/>
    <w:rsid w:val="00EF60D0"/>
    <w:rsid w:val="00F008D2"/>
    <w:rsid w:val="00F01BD0"/>
    <w:rsid w:val="00F0418F"/>
    <w:rsid w:val="00F0528D"/>
    <w:rsid w:val="00F06471"/>
    <w:rsid w:val="00F065DE"/>
    <w:rsid w:val="00F06C67"/>
    <w:rsid w:val="00F06DFD"/>
    <w:rsid w:val="00F071D1"/>
    <w:rsid w:val="00F07533"/>
    <w:rsid w:val="00F10629"/>
    <w:rsid w:val="00F108C0"/>
    <w:rsid w:val="00F12209"/>
    <w:rsid w:val="00F12DF2"/>
    <w:rsid w:val="00F15379"/>
    <w:rsid w:val="00F158CE"/>
    <w:rsid w:val="00F15FA5"/>
    <w:rsid w:val="00F209B7"/>
    <w:rsid w:val="00F212AF"/>
    <w:rsid w:val="00F219D6"/>
    <w:rsid w:val="00F21D93"/>
    <w:rsid w:val="00F225C3"/>
    <w:rsid w:val="00F2315B"/>
    <w:rsid w:val="00F2376F"/>
    <w:rsid w:val="00F2387B"/>
    <w:rsid w:val="00F24073"/>
    <w:rsid w:val="00F243D8"/>
    <w:rsid w:val="00F30828"/>
    <w:rsid w:val="00F313D6"/>
    <w:rsid w:val="00F34CAD"/>
    <w:rsid w:val="00F40F0C"/>
    <w:rsid w:val="00F413E3"/>
    <w:rsid w:val="00F436E9"/>
    <w:rsid w:val="00F4766C"/>
    <w:rsid w:val="00F507D1"/>
    <w:rsid w:val="00F519CE"/>
    <w:rsid w:val="00F51ADA"/>
    <w:rsid w:val="00F522C0"/>
    <w:rsid w:val="00F55B78"/>
    <w:rsid w:val="00F607C5"/>
    <w:rsid w:val="00F60DEA"/>
    <w:rsid w:val="00F61DC7"/>
    <w:rsid w:val="00F6302A"/>
    <w:rsid w:val="00F63043"/>
    <w:rsid w:val="00F63F47"/>
    <w:rsid w:val="00F6429F"/>
    <w:rsid w:val="00F6431F"/>
    <w:rsid w:val="00F64C2B"/>
    <w:rsid w:val="00F651BE"/>
    <w:rsid w:val="00F674BE"/>
    <w:rsid w:val="00F67F53"/>
    <w:rsid w:val="00F703BE"/>
    <w:rsid w:val="00F71F69"/>
    <w:rsid w:val="00F720D4"/>
    <w:rsid w:val="00F72B72"/>
    <w:rsid w:val="00F74BB9"/>
    <w:rsid w:val="00F75582"/>
    <w:rsid w:val="00F7644F"/>
    <w:rsid w:val="00F76EFA"/>
    <w:rsid w:val="00F804BE"/>
    <w:rsid w:val="00F817CE"/>
    <w:rsid w:val="00F81D03"/>
    <w:rsid w:val="00F824A3"/>
    <w:rsid w:val="00F82F7F"/>
    <w:rsid w:val="00F8456C"/>
    <w:rsid w:val="00F859D8"/>
    <w:rsid w:val="00F85B00"/>
    <w:rsid w:val="00F85DAD"/>
    <w:rsid w:val="00F868F5"/>
    <w:rsid w:val="00F8727E"/>
    <w:rsid w:val="00F87EAE"/>
    <w:rsid w:val="00F9056A"/>
    <w:rsid w:val="00F90F8D"/>
    <w:rsid w:val="00F918E8"/>
    <w:rsid w:val="00F92782"/>
    <w:rsid w:val="00F93AA9"/>
    <w:rsid w:val="00F96985"/>
    <w:rsid w:val="00F97680"/>
    <w:rsid w:val="00F97838"/>
    <w:rsid w:val="00FA0046"/>
    <w:rsid w:val="00FA0071"/>
    <w:rsid w:val="00FA17C5"/>
    <w:rsid w:val="00FA1809"/>
    <w:rsid w:val="00FA2BB3"/>
    <w:rsid w:val="00FA5FDE"/>
    <w:rsid w:val="00FB0D4C"/>
    <w:rsid w:val="00FB2D17"/>
    <w:rsid w:val="00FB4C80"/>
    <w:rsid w:val="00FB6A6A"/>
    <w:rsid w:val="00FC30B5"/>
    <w:rsid w:val="00FC727C"/>
    <w:rsid w:val="00FC7429"/>
    <w:rsid w:val="00FC7963"/>
    <w:rsid w:val="00FD01DB"/>
    <w:rsid w:val="00FD049A"/>
    <w:rsid w:val="00FD0731"/>
    <w:rsid w:val="00FD07F6"/>
    <w:rsid w:val="00FD1300"/>
    <w:rsid w:val="00FD1EC8"/>
    <w:rsid w:val="00FD47ED"/>
    <w:rsid w:val="00FD74DB"/>
    <w:rsid w:val="00FD7660"/>
    <w:rsid w:val="00FE0655"/>
    <w:rsid w:val="00FE2365"/>
    <w:rsid w:val="00FE322C"/>
    <w:rsid w:val="00FE4C7B"/>
    <w:rsid w:val="00FE5B96"/>
    <w:rsid w:val="00FE7336"/>
    <w:rsid w:val="00FE787C"/>
    <w:rsid w:val="00FF0703"/>
    <w:rsid w:val="00FF0971"/>
    <w:rsid w:val="00FF16F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E316E1D"/>
  <w15:chartTrackingRefBased/>
  <w15:docId w15:val="{767293E6-63E3-4B91-932A-0948AD495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4DA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4F4DA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4F4DA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4F4DA2"/>
    <w:pPr>
      <w:numPr>
        <w:ilvl w:val="2"/>
      </w:numPr>
      <w:spacing w:before="120"/>
      <w:outlineLvl w:val="2"/>
    </w:pPr>
    <w:rPr>
      <w:sz w:val="28"/>
      <w:szCs w:val="28"/>
    </w:rPr>
  </w:style>
  <w:style w:type="paragraph" w:styleId="Heading4">
    <w:name w:val="heading 4"/>
    <w:basedOn w:val="Heading3"/>
    <w:next w:val="Normal"/>
    <w:qFormat/>
    <w:rsid w:val="004F4DA2"/>
    <w:pPr>
      <w:numPr>
        <w:ilvl w:val="3"/>
      </w:numPr>
      <w:outlineLvl w:val="3"/>
    </w:pPr>
    <w:rPr>
      <w:sz w:val="24"/>
      <w:szCs w:val="24"/>
    </w:rPr>
  </w:style>
  <w:style w:type="paragraph" w:styleId="Heading5">
    <w:name w:val="heading 5"/>
    <w:basedOn w:val="Heading4"/>
    <w:next w:val="Normal"/>
    <w:qFormat/>
    <w:rsid w:val="004F4DA2"/>
    <w:pPr>
      <w:numPr>
        <w:ilvl w:val="4"/>
      </w:numPr>
      <w:outlineLvl w:val="4"/>
    </w:pPr>
    <w:rPr>
      <w:sz w:val="22"/>
      <w:szCs w:val="22"/>
    </w:rPr>
  </w:style>
  <w:style w:type="paragraph" w:styleId="Heading6">
    <w:name w:val="heading 6"/>
    <w:basedOn w:val="Normal"/>
    <w:next w:val="Normal"/>
    <w:qFormat/>
    <w:rsid w:val="004F4DA2"/>
    <w:pPr>
      <w:keepNext/>
      <w:keepLines/>
      <w:numPr>
        <w:ilvl w:val="5"/>
        <w:numId w:val="1"/>
      </w:numPr>
      <w:spacing w:before="120"/>
      <w:outlineLvl w:val="5"/>
    </w:pPr>
    <w:rPr>
      <w:rFonts w:cs="Arial"/>
    </w:rPr>
  </w:style>
  <w:style w:type="paragraph" w:styleId="Heading7">
    <w:name w:val="heading 7"/>
    <w:basedOn w:val="Normal"/>
    <w:next w:val="Normal"/>
    <w:qFormat/>
    <w:rsid w:val="004F4DA2"/>
    <w:pPr>
      <w:keepNext/>
      <w:keepLines/>
      <w:numPr>
        <w:ilvl w:val="6"/>
        <w:numId w:val="1"/>
      </w:numPr>
      <w:spacing w:before="120"/>
      <w:outlineLvl w:val="6"/>
    </w:pPr>
    <w:rPr>
      <w:rFonts w:cs="Arial"/>
    </w:rPr>
  </w:style>
  <w:style w:type="paragraph" w:styleId="Heading8">
    <w:name w:val="heading 8"/>
    <w:basedOn w:val="Heading7"/>
    <w:next w:val="Normal"/>
    <w:qFormat/>
    <w:rsid w:val="004F4DA2"/>
    <w:pPr>
      <w:numPr>
        <w:ilvl w:val="7"/>
      </w:numPr>
      <w:outlineLvl w:val="7"/>
    </w:pPr>
  </w:style>
  <w:style w:type="paragraph" w:styleId="Heading9">
    <w:name w:val="heading 9"/>
    <w:basedOn w:val="Heading8"/>
    <w:next w:val="Normal"/>
    <w:qFormat/>
    <w:rsid w:val="004F4DA2"/>
    <w:pPr>
      <w:numPr>
        <w:ilvl w:val="8"/>
      </w:numPr>
      <w:outlineLvl w:val="8"/>
    </w:pPr>
  </w:style>
  <w:style w:type="character" w:default="1" w:styleId="DefaultParagraphFont">
    <w:name w:val="Default Paragraph Font"/>
    <w:uiPriority w:val="1"/>
    <w:semiHidden/>
    <w:unhideWhenUsed/>
    <w:rsid w:val="004F4D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4DA2"/>
  </w:style>
  <w:style w:type="paragraph" w:styleId="TOC8">
    <w:name w:val="toc 8"/>
    <w:basedOn w:val="TOC1"/>
    <w:semiHidden/>
    <w:rsid w:val="004F4DA2"/>
    <w:pPr>
      <w:spacing w:before="180"/>
      <w:ind w:left="2693" w:hanging="2693"/>
    </w:pPr>
    <w:rPr>
      <w:b w:val="0"/>
      <w:bCs/>
    </w:rPr>
  </w:style>
  <w:style w:type="paragraph" w:styleId="TOC1">
    <w:name w:val="toc 1"/>
    <w:aliases w:val="Observation TOC2"/>
    <w:uiPriority w:val="39"/>
    <w:rsid w:val="004F4DA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4F4DA2"/>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4F4DA2"/>
    <w:pPr>
      <w:spacing w:after="240"/>
      <w:jc w:val="center"/>
    </w:pPr>
    <w:rPr>
      <w:b/>
      <w:bCs/>
    </w:rPr>
  </w:style>
  <w:style w:type="paragraph" w:styleId="TOC5">
    <w:name w:val="toc 5"/>
    <w:aliases w:val="Observation TOC"/>
    <w:basedOn w:val="TOC4"/>
    <w:semiHidden/>
    <w:rsid w:val="004F4DA2"/>
    <w:pPr>
      <w:tabs>
        <w:tab w:val="right" w:pos="1701"/>
      </w:tabs>
      <w:ind w:left="1701" w:hanging="1701"/>
    </w:pPr>
  </w:style>
  <w:style w:type="paragraph" w:styleId="TOC4">
    <w:name w:val="toc 4"/>
    <w:basedOn w:val="TOC3"/>
    <w:semiHidden/>
    <w:rsid w:val="004F4DA2"/>
    <w:pPr>
      <w:ind w:left="1418" w:hanging="1418"/>
    </w:pPr>
  </w:style>
  <w:style w:type="paragraph" w:styleId="TOC3">
    <w:name w:val="toc 3"/>
    <w:basedOn w:val="TOC2"/>
    <w:semiHidden/>
    <w:rsid w:val="004F4DA2"/>
    <w:pPr>
      <w:ind w:left="1134" w:hanging="1134"/>
    </w:pPr>
  </w:style>
  <w:style w:type="paragraph" w:styleId="TOC2">
    <w:name w:val="toc 2"/>
    <w:basedOn w:val="TOC1"/>
    <w:semiHidden/>
    <w:rsid w:val="004F4DA2"/>
    <w:pPr>
      <w:keepNext w:val="0"/>
      <w:spacing w:before="0"/>
      <w:ind w:left="851" w:hanging="851"/>
    </w:pPr>
    <w:rPr>
      <w:szCs w:val="20"/>
    </w:rPr>
  </w:style>
  <w:style w:type="paragraph" w:styleId="Index2">
    <w:name w:val="index 2"/>
    <w:basedOn w:val="Index1"/>
    <w:semiHidden/>
    <w:rsid w:val="004F4DA2"/>
    <w:pPr>
      <w:ind w:left="284"/>
    </w:pPr>
  </w:style>
  <w:style w:type="paragraph" w:styleId="Index1">
    <w:name w:val="index 1"/>
    <w:basedOn w:val="Normal"/>
    <w:semiHidden/>
    <w:rsid w:val="004F4DA2"/>
    <w:pPr>
      <w:keepLines/>
      <w:spacing w:after="0"/>
    </w:pPr>
  </w:style>
  <w:style w:type="paragraph" w:styleId="DocumentMap">
    <w:name w:val="Document Map"/>
    <w:basedOn w:val="Normal"/>
    <w:semiHidden/>
    <w:rsid w:val="004F4DA2"/>
    <w:pPr>
      <w:shd w:val="clear" w:color="auto" w:fill="000080"/>
    </w:pPr>
    <w:rPr>
      <w:rFonts w:ascii="Tahoma" w:hAnsi="Tahoma" w:cs="Tahoma"/>
    </w:rPr>
  </w:style>
  <w:style w:type="paragraph" w:styleId="ListNumber2">
    <w:name w:val="List Number 2"/>
    <w:basedOn w:val="ListNumber"/>
    <w:rsid w:val="004F4DA2"/>
    <w:pPr>
      <w:ind w:left="851"/>
    </w:pPr>
  </w:style>
  <w:style w:type="paragraph" w:styleId="ListNumber">
    <w:name w:val="List Number"/>
    <w:basedOn w:val="List"/>
    <w:rsid w:val="004F4DA2"/>
  </w:style>
  <w:style w:type="paragraph" w:styleId="List">
    <w:name w:val="List"/>
    <w:basedOn w:val="Normal"/>
    <w:rsid w:val="004F4DA2"/>
    <w:pPr>
      <w:ind w:left="568" w:hanging="284"/>
    </w:pPr>
  </w:style>
  <w:style w:type="paragraph" w:styleId="Header">
    <w:name w:val="header"/>
    <w:rsid w:val="004F4DA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4F4DA2"/>
    <w:rPr>
      <w:b/>
      <w:bCs/>
      <w:position w:val="6"/>
      <w:sz w:val="16"/>
      <w:szCs w:val="16"/>
    </w:rPr>
  </w:style>
  <w:style w:type="paragraph" w:styleId="FootnoteText">
    <w:name w:val="footnote text"/>
    <w:basedOn w:val="Normal"/>
    <w:semiHidden/>
    <w:rsid w:val="004F4DA2"/>
    <w:pPr>
      <w:keepLines/>
      <w:spacing w:after="0"/>
      <w:ind w:left="454" w:hanging="454"/>
    </w:pPr>
    <w:rPr>
      <w:sz w:val="16"/>
      <w:szCs w:val="16"/>
    </w:rPr>
  </w:style>
  <w:style w:type="paragraph" w:customStyle="1" w:styleId="3GPPHeader">
    <w:name w:val="3GPP_Header"/>
    <w:basedOn w:val="Normal"/>
    <w:rsid w:val="004F4DA2"/>
    <w:pPr>
      <w:tabs>
        <w:tab w:val="left" w:pos="1701"/>
        <w:tab w:val="right" w:pos="9639"/>
      </w:tabs>
      <w:spacing w:after="240"/>
    </w:pPr>
    <w:rPr>
      <w:b/>
      <w:sz w:val="24"/>
    </w:rPr>
  </w:style>
  <w:style w:type="paragraph" w:styleId="TOC9">
    <w:name w:val="toc 9"/>
    <w:basedOn w:val="TOC8"/>
    <w:semiHidden/>
    <w:rsid w:val="004F4DA2"/>
    <w:pPr>
      <w:ind w:left="1418" w:hanging="1418"/>
    </w:pPr>
  </w:style>
  <w:style w:type="paragraph" w:styleId="TOC6">
    <w:name w:val="toc 6"/>
    <w:basedOn w:val="TOC5"/>
    <w:next w:val="Normal"/>
    <w:semiHidden/>
    <w:rsid w:val="004F4DA2"/>
    <w:pPr>
      <w:ind w:left="1985" w:hanging="1985"/>
    </w:pPr>
  </w:style>
  <w:style w:type="paragraph" w:styleId="TOC7">
    <w:name w:val="toc 7"/>
    <w:basedOn w:val="TOC6"/>
    <w:next w:val="Normal"/>
    <w:semiHidden/>
    <w:rsid w:val="004F4DA2"/>
    <w:pPr>
      <w:ind w:left="2268" w:hanging="2268"/>
    </w:pPr>
  </w:style>
  <w:style w:type="paragraph" w:styleId="ListBullet2">
    <w:name w:val="List Bullet 2"/>
    <w:basedOn w:val="ListBullet"/>
    <w:rsid w:val="004F4DA2"/>
    <w:pPr>
      <w:numPr>
        <w:numId w:val="6"/>
      </w:numPr>
    </w:pPr>
  </w:style>
  <w:style w:type="paragraph" w:styleId="ListBullet">
    <w:name w:val="List Bullet"/>
    <w:basedOn w:val="BodyText"/>
    <w:rsid w:val="004F4DA2"/>
    <w:pPr>
      <w:numPr>
        <w:numId w:val="5"/>
      </w:numPr>
    </w:pPr>
  </w:style>
  <w:style w:type="paragraph" w:styleId="ListBullet3">
    <w:name w:val="List Bullet 3"/>
    <w:basedOn w:val="ListBullet2"/>
    <w:rsid w:val="004F4DA2"/>
    <w:pPr>
      <w:numPr>
        <w:numId w:val="7"/>
      </w:numPr>
    </w:pPr>
  </w:style>
  <w:style w:type="paragraph" w:customStyle="1" w:styleId="EQ">
    <w:name w:val="EQ"/>
    <w:basedOn w:val="Normal"/>
    <w:next w:val="Normal"/>
    <w:rsid w:val="004F4DA2"/>
    <w:pPr>
      <w:keepLines/>
      <w:tabs>
        <w:tab w:val="center" w:pos="4536"/>
        <w:tab w:val="right" w:pos="9072"/>
      </w:tabs>
      <w:spacing w:after="180"/>
      <w:jc w:val="left"/>
    </w:pPr>
    <w:rPr>
      <w:noProof/>
      <w:lang w:eastAsia="en-US"/>
    </w:rPr>
  </w:style>
  <w:style w:type="paragraph" w:styleId="List2">
    <w:name w:val="List 2"/>
    <w:basedOn w:val="List"/>
    <w:rsid w:val="004F4DA2"/>
    <w:pPr>
      <w:ind w:left="851"/>
    </w:pPr>
  </w:style>
  <w:style w:type="paragraph" w:styleId="List3">
    <w:name w:val="List 3"/>
    <w:basedOn w:val="List2"/>
    <w:rsid w:val="004F4DA2"/>
    <w:pPr>
      <w:ind w:left="1135"/>
    </w:pPr>
  </w:style>
  <w:style w:type="paragraph" w:styleId="List4">
    <w:name w:val="List 4"/>
    <w:basedOn w:val="List3"/>
    <w:rsid w:val="004F4DA2"/>
    <w:pPr>
      <w:ind w:left="1418"/>
    </w:pPr>
  </w:style>
  <w:style w:type="paragraph" w:styleId="List5">
    <w:name w:val="List 5"/>
    <w:basedOn w:val="List4"/>
    <w:rsid w:val="004F4DA2"/>
    <w:pPr>
      <w:ind w:left="1702"/>
    </w:pPr>
  </w:style>
  <w:style w:type="paragraph" w:customStyle="1" w:styleId="EditorsNote">
    <w:name w:val="Editor's Note"/>
    <w:basedOn w:val="Normal"/>
    <w:rsid w:val="004F4DA2"/>
    <w:pPr>
      <w:keepLines/>
      <w:spacing w:after="180"/>
      <w:ind w:left="1135" w:hanging="851"/>
      <w:jc w:val="left"/>
    </w:pPr>
    <w:rPr>
      <w:color w:val="FF0000"/>
      <w:lang w:eastAsia="en-US"/>
    </w:rPr>
  </w:style>
  <w:style w:type="paragraph" w:styleId="ListBullet4">
    <w:name w:val="List Bullet 4"/>
    <w:basedOn w:val="ListBullet3"/>
    <w:rsid w:val="004F4DA2"/>
    <w:pPr>
      <w:numPr>
        <w:numId w:val="8"/>
      </w:numPr>
    </w:pPr>
  </w:style>
  <w:style w:type="paragraph" w:styleId="ListBullet5">
    <w:name w:val="List Bullet 5"/>
    <w:basedOn w:val="ListBullet4"/>
    <w:rsid w:val="004F4DA2"/>
    <w:pPr>
      <w:numPr>
        <w:numId w:val="4"/>
      </w:numPr>
    </w:pPr>
  </w:style>
  <w:style w:type="paragraph" w:styleId="Footer">
    <w:name w:val="footer"/>
    <w:basedOn w:val="Header"/>
    <w:semiHidden/>
    <w:rsid w:val="004F4DA2"/>
    <w:pPr>
      <w:jc w:val="center"/>
    </w:pPr>
    <w:rPr>
      <w:i/>
      <w:iCs/>
    </w:rPr>
  </w:style>
  <w:style w:type="paragraph" w:customStyle="1" w:styleId="Reference">
    <w:name w:val="Reference"/>
    <w:basedOn w:val="Normal"/>
    <w:rsid w:val="004F4DA2"/>
    <w:pPr>
      <w:numPr>
        <w:numId w:val="2"/>
      </w:numPr>
    </w:pPr>
  </w:style>
  <w:style w:type="paragraph" w:styleId="BalloonText">
    <w:name w:val="Balloon Text"/>
    <w:basedOn w:val="Normal"/>
    <w:semiHidden/>
    <w:rsid w:val="004F4DA2"/>
    <w:rPr>
      <w:rFonts w:ascii="Tahoma" w:hAnsi="Tahoma" w:cs="Tahoma"/>
      <w:sz w:val="16"/>
      <w:szCs w:val="16"/>
    </w:rPr>
  </w:style>
  <w:style w:type="character" w:styleId="PageNumber">
    <w:name w:val="page number"/>
    <w:basedOn w:val="DefaultParagraphFont"/>
    <w:semiHidden/>
    <w:rsid w:val="004F4DA2"/>
  </w:style>
  <w:style w:type="paragraph" w:styleId="BodyText">
    <w:name w:val="Body Text"/>
    <w:basedOn w:val="Normal"/>
    <w:link w:val="BodyTextChar"/>
    <w:rsid w:val="004F4DA2"/>
  </w:style>
  <w:style w:type="character" w:styleId="Hyperlink">
    <w:name w:val="Hyperlink"/>
    <w:uiPriority w:val="99"/>
    <w:rsid w:val="004F4DA2"/>
    <w:rPr>
      <w:color w:val="0000FF"/>
      <w:u w:val="single"/>
      <w:lang w:val="en-GB"/>
    </w:rPr>
  </w:style>
  <w:style w:type="character" w:styleId="FollowedHyperlink">
    <w:name w:val="FollowedHyperlink"/>
    <w:semiHidden/>
    <w:rsid w:val="004F4DA2"/>
    <w:rPr>
      <w:color w:val="FF0000"/>
      <w:u w:val="single"/>
    </w:rPr>
  </w:style>
  <w:style w:type="character" w:styleId="CommentReference">
    <w:name w:val="annotation reference"/>
    <w:semiHidden/>
    <w:rsid w:val="004F4DA2"/>
    <w:rPr>
      <w:sz w:val="16"/>
      <w:szCs w:val="16"/>
    </w:rPr>
  </w:style>
  <w:style w:type="paragraph" w:styleId="CommentText">
    <w:name w:val="annotation text"/>
    <w:basedOn w:val="Normal"/>
    <w:link w:val="CommentTextChar"/>
    <w:semiHidden/>
    <w:rsid w:val="004F4DA2"/>
  </w:style>
  <w:style w:type="paragraph" w:styleId="CommentSubject">
    <w:name w:val="annotation subject"/>
    <w:basedOn w:val="CommentText"/>
    <w:next w:val="CommentText"/>
    <w:semiHidden/>
    <w:rsid w:val="004F4DA2"/>
    <w:rPr>
      <w:b/>
      <w:bCs/>
    </w:rPr>
  </w:style>
  <w:style w:type="character" w:customStyle="1" w:styleId="Heading1Char">
    <w:name w:val="Heading 1 Char"/>
    <w:link w:val="Heading1"/>
    <w:rsid w:val="004F4DA2"/>
    <w:rPr>
      <w:rFonts w:ascii="Arial" w:hAnsi="Arial" w:cs="Arial"/>
      <w:sz w:val="36"/>
      <w:szCs w:val="36"/>
      <w:lang w:val="en-GB" w:eastAsia="zh-CN"/>
    </w:rPr>
  </w:style>
  <w:style w:type="paragraph" w:customStyle="1" w:styleId="B1">
    <w:name w:val="B1"/>
    <w:basedOn w:val="List"/>
    <w:link w:val="B1Char"/>
    <w:rsid w:val="004F4DA2"/>
    <w:pPr>
      <w:spacing w:after="180"/>
      <w:jc w:val="left"/>
    </w:pPr>
    <w:rPr>
      <w:lang w:eastAsia="en-US"/>
    </w:rPr>
  </w:style>
  <w:style w:type="paragraph" w:customStyle="1" w:styleId="B2">
    <w:name w:val="B2"/>
    <w:basedOn w:val="List2"/>
    <w:link w:val="B2Char"/>
    <w:rsid w:val="004F4DA2"/>
    <w:pPr>
      <w:spacing w:after="180"/>
      <w:jc w:val="left"/>
    </w:pPr>
    <w:rPr>
      <w:lang w:eastAsia="en-US"/>
    </w:rPr>
  </w:style>
  <w:style w:type="paragraph" w:customStyle="1" w:styleId="B3">
    <w:name w:val="B3"/>
    <w:basedOn w:val="List3"/>
    <w:link w:val="B3Char"/>
    <w:rsid w:val="004F4DA2"/>
    <w:pPr>
      <w:spacing w:after="180"/>
      <w:jc w:val="left"/>
    </w:pPr>
    <w:rPr>
      <w:lang w:eastAsia="en-US"/>
    </w:rPr>
  </w:style>
  <w:style w:type="paragraph" w:customStyle="1" w:styleId="B4">
    <w:name w:val="B4"/>
    <w:basedOn w:val="List4"/>
    <w:link w:val="B4Char"/>
    <w:rsid w:val="004F4DA2"/>
    <w:pPr>
      <w:spacing w:after="180"/>
      <w:jc w:val="left"/>
    </w:pPr>
    <w:rPr>
      <w:lang w:eastAsia="en-US"/>
    </w:rPr>
  </w:style>
  <w:style w:type="paragraph" w:customStyle="1" w:styleId="Proposal">
    <w:name w:val="Proposal"/>
    <w:basedOn w:val="Normal"/>
    <w:rsid w:val="004F4DA2"/>
    <w:pPr>
      <w:numPr>
        <w:numId w:val="3"/>
      </w:numPr>
      <w:tabs>
        <w:tab w:val="clear" w:pos="1304"/>
        <w:tab w:val="left" w:pos="1701"/>
      </w:tabs>
      <w:ind w:left="1701" w:hanging="1701"/>
    </w:pPr>
    <w:rPr>
      <w:b/>
      <w:bCs/>
    </w:rPr>
  </w:style>
  <w:style w:type="character" w:customStyle="1" w:styleId="BodyTextChar">
    <w:name w:val="Body Text Char"/>
    <w:link w:val="BodyText"/>
    <w:rsid w:val="004F4DA2"/>
    <w:rPr>
      <w:rFonts w:ascii="Arial" w:hAnsi="Arial"/>
      <w:lang w:val="en-GB" w:eastAsia="zh-CN"/>
    </w:rPr>
  </w:style>
  <w:style w:type="paragraph" w:customStyle="1" w:styleId="B5">
    <w:name w:val="B5"/>
    <w:basedOn w:val="List5"/>
    <w:rsid w:val="004F4DA2"/>
    <w:pPr>
      <w:spacing w:after="180"/>
      <w:jc w:val="left"/>
    </w:pPr>
    <w:rPr>
      <w:lang w:eastAsia="en-US"/>
    </w:rPr>
  </w:style>
  <w:style w:type="paragraph" w:customStyle="1" w:styleId="EX">
    <w:name w:val="EX"/>
    <w:basedOn w:val="Normal"/>
    <w:rsid w:val="004F4DA2"/>
    <w:pPr>
      <w:keepLines/>
      <w:spacing w:after="180"/>
      <w:ind w:left="1702" w:hanging="1418"/>
      <w:jc w:val="left"/>
    </w:pPr>
    <w:rPr>
      <w:lang w:eastAsia="en-US"/>
    </w:rPr>
  </w:style>
  <w:style w:type="paragraph" w:customStyle="1" w:styleId="EW">
    <w:name w:val="EW"/>
    <w:basedOn w:val="EX"/>
    <w:rsid w:val="004F4DA2"/>
    <w:pPr>
      <w:spacing w:after="0"/>
    </w:pPr>
  </w:style>
  <w:style w:type="paragraph" w:customStyle="1" w:styleId="TAL">
    <w:name w:val="TAL"/>
    <w:basedOn w:val="Normal"/>
    <w:link w:val="TALCar"/>
    <w:rsid w:val="004F4DA2"/>
    <w:pPr>
      <w:keepNext/>
      <w:keepLines/>
      <w:spacing w:after="0"/>
      <w:jc w:val="left"/>
    </w:pPr>
    <w:rPr>
      <w:sz w:val="18"/>
      <w:lang w:eastAsia="en-US"/>
    </w:rPr>
  </w:style>
  <w:style w:type="paragraph" w:customStyle="1" w:styleId="TAC">
    <w:name w:val="TAC"/>
    <w:basedOn w:val="TAL"/>
    <w:link w:val="TACChar"/>
    <w:rsid w:val="004F4DA2"/>
    <w:pPr>
      <w:jc w:val="center"/>
    </w:pPr>
  </w:style>
  <w:style w:type="paragraph" w:customStyle="1" w:styleId="TAH">
    <w:name w:val="TAH"/>
    <w:basedOn w:val="TAC"/>
    <w:link w:val="TAHCar"/>
    <w:rsid w:val="004F4DA2"/>
    <w:rPr>
      <w:b/>
    </w:rPr>
  </w:style>
  <w:style w:type="paragraph" w:customStyle="1" w:styleId="TAN">
    <w:name w:val="TAN"/>
    <w:basedOn w:val="TAL"/>
    <w:rsid w:val="004F4DA2"/>
    <w:pPr>
      <w:ind w:left="851" w:hanging="851"/>
    </w:pPr>
  </w:style>
  <w:style w:type="paragraph" w:customStyle="1" w:styleId="TAR">
    <w:name w:val="TAR"/>
    <w:basedOn w:val="TAL"/>
    <w:rsid w:val="004F4DA2"/>
    <w:pPr>
      <w:jc w:val="right"/>
    </w:pPr>
  </w:style>
  <w:style w:type="paragraph" w:customStyle="1" w:styleId="TH">
    <w:name w:val="TH"/>
    <w:basedOn w:val="Normal"/>
    <w:link w:val="THChar"/>
    <w:rsid w:val="004F4DA2"/>
    <w:pPr>
      <w:keepNext/>
      <w:keepLines/>
      <w:spacing w:before="60" w:after="180"/>
      <w:jc w:val="center"/>
    </w:pPr>
    <w:rPr>
      <w:b/>
      <w:lang w:eastAsia="en-US"/>
    </w:rPr>
  </w:style>
  <w:style w:type="paragraph" w:customStyle="1" w:styleId="TF">
    <w:name w:val="TF"/>
    <w:basedOn w:val="TH"/>
    <w:rsid w:val="004F4DA2"/>
    <w:pPr>
      <w:keepNext w:val="0"/>
      <w:spacing w:before="0" w:after="240"/>
    </w:pPr>
  </w:style>
  <w:style w:type="paragraph" w:customStyle="1" w:styleId="TT">
    <w:name w:val="TT"/>
    <w:basedOn w:val="Heading1"/>
    <w:next w:val="Normal"/>
    <w:rsid w:val="004F4DA2"/>
    <w:pPr>
      <w:numPr>
        <w:numId w:val="0"/>
      </w:numPr>
      <w:ind w:left="1134" w:hanging="1134"/>
      <w:outlineLvl w:val="9"/>
    </w:pPr>
    <w:rPr>
      <w:rFonts w:cs="Times New Roman"/>
      <w:szCs w:val="20"/>
      <w:lang w:eastAsia="en-US"/>
    </w:rPr>
  </w:style>
  <w:style w:type="paragraph" w:customStyle="1" w:styleId="ZA">
    <w:name w:val="ZA"/>
    <w:rsid w:val="004F4D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4D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F4DA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4F4DA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4F4DA2"/>
  </w:style>
  <w:style w:type="paragraph" w:customStyle="1" w:styleId="ZH">
    <w:name w:val="ZH"/>
    <w:rsid w:val="004F4DA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4F4D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4F4DA2"/>
    <w:pPr>
      <w:framePr w:hRule="auto" w:wrap="notBeside" w:y="852"/>
    </w:pPr>
    <w:rPr>
      <w:i w:val="0"/>
      <w:sz w:val="40"/>
    </w:rPr>
  </w:style>
  <w:style w:type="paragraph" w:customStyle="1" w:styleId="ZU">
    <w:name w:val="ZU"/>
    <w:rsid w:val="004F4D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F4DA2"/>
    <w:pPr>
      <w:framePr w:wrap="notBeside" w:y="16161"/>
    </w:pPr>
  </w:style>
  <w:style w:type="paragraph" w:customStyle="1" w:styleId="FP">
    <w:name w:val="FP"/>
    <w:basedOn w:val="Normal"/>
    <w:rsid w:val="004F4DA2"/>
    <w:pPr>
      <w:spacing w:after="0"/>
      <w:jc w:val="left"/>
    </w:pPr>
    <w:rPr>
      <w:lang w:eastAsia="en-US"/>
    </w:rPr>
  </w:style>
  <w:style w:type="paragraph" w:customStyle="1" w:styleId="Observation">
    <w:name w:val="Observation"/>
    <w:basedOn w:val="Proposal"/>
    <w:qFormat/>
    <w:rsid w:val="004F4DA2"/>
    <w:pPr>
      <w:numPr>
        <w:numId w:val="13"/>
      </w:numPr>
      <w:ind w:left="1701" w:hanging="1701"/>
    </w:pPr>
  </w:style>
  <w:style w:type="paragraph" w:styleId="TableofFigures">
    <w:name w:val="table of figures"/>
    <w:basedOn w:val="Normal"/>
    <w:next w:val="Normal"/>
    <w:uiPriority w:val="99"/>
    <w:rsid w:val="004F4DA2"/>
    <w:pPr>
      <w:ind w:left="1418" w:hanging="1418"/>
      <w:jc w:val="left"/>
    </w:pPr>
    <w:rPr>
      <w:b/>
    </w:rPr>
  </w:style>
  <w:style w:type="paragraph" w:customStyle="1" w:styleId="Doc-text2">
    <w:name w:val="Doc-text2"/>
    <w:basedOn w:val="Normal"/>
    <w:link w:val="Doc-text2Char"/>
    <w:qFormat/>
    <w:rsid w:val="004F4DA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F4DA2"/>
    <w:rPr>
      <w:rFonts w:ascii="Arial" w:eastAsia="MS Mincho" w:hAnsi="Arial"/>
      <w:szCs w:val="24"/>
      <w:lang w:val="en-GB" w:eastAsia="en-GB"/>
    </w:rPr>
  </w:style>
  <w:style w:type="table" w:styleId="TableGrid">
    <w:name w:val="Table Grid"/>
    <w:basedOn w:val="TableNormal"/>
    <w:rsid w:val="009209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16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Yu Mincho" w:hAnsi="Courier New"/>
      <w:noProof/>
      <w:sz w:val="16"/>
    </w:rPr>
  </w:style>
  <w:style w:type="character" w:customStyle="1" w:styleId="PLChar">
    <w:name w:val="PL Char"/>
    <w:link w:val="PL"/>
    <w:rsid w:val="00D160CE"/>
    <w:rPr>
      <w:rFonts w:ascii="Courier New" w:eastAsia="Yu Mincho" w:hAnsi="Courier New"/>
      <w:noProof/>
      <w:sz w:val="16"/>
    </w:rPr>
  </w:style>
  <w:style w:type="paragraph" w:styleId="ListParagraph">
    <w:name w:val="List Paragraph"/>
    <w:basedOn w:val="Normal"/>
    <w:uiPriority w:val="34"/>
    <w:qFormat/>
    <w:rsid w:val="004400C5"/>
    <w:pPr>
      <w:ind w:left="720"/>
      <w:contextualSpacing/>
    </w:pPr>
  </w:style>
  <w:style w:type="character" w:customStyle="1" w:styleId="B1Char">
    <w:name w:val="B1 Char"/>
    <w:link w:val="B1"/>
    <w:rsid w:val="00A21EB5"/>
    <w:rPr>
      <w:rFonts w:ascii="Arial" w:hAnsi="Arial"/>
      <w:lang w:val="en-GB"/>
    </w:rPr>
  </w:style>
  <w:style w:type="character" w:customStyle="1" w:styleId="B2Char">
    <w:name w:val="B2 Char"/>
    <w:link w:val="B2"/>
    <w:rsid w:val="00A21EB5"/>
    <w:rPr>
      <w:rFonts w:ascii="Arial" w:hAnsi="Arial"/>
      <w:lang w:val="en-GB"/>
    </w:rPr>
  </w:style>
  <w:style w:type="character" w:customStyle="1" w:styleId="B3Char">
    <w:name w:val="B3 Char"/>
    <w:link w:val="B3"/>
    <w:rsid w:val="00A21EB5"/>
    <w:rPr>
      <w:rFonts w:ascii="Arial" w:hAnsi="Arial"/>
      <w:lang w:val="en-GB"/>
    </w:rPr>
  </w:style>
  <w:style w:type="character" w:customStyle="1" w:styleId="B4Char">
    <w:name w:val="B4 Char"/>
    <w:link w:val="B4"/>
    <w:rsid w:val="00A21EB5"/>
    <w:rPr>
      <w:rFonts w:ascii="Arial" w:hAnsi="Arial"/>
      <w:lang w:val="en-GB"/>
    </w:rPr>
  </w:style>
  <w:style w:type="character" w:customStyle="1" w:styleId="TALCar">
    <w:name w:val="TAL Car"/>
    <w:link w:val="TAL"/>
    <w:rsid w:val="00BE7E48"/>
    <w:rPr>
      <w:rFonts w:ascii="Arial" w:hAnsi="Arial"/>
      <w:sz w:val="18"/>
      <w:lang w:val="en-GB"/>
    </w:rPr>
  </w:style>
  <w:style w:type="character" w:customStyle="1" w:styleId="TAHCar">
    <w:name w:val="TAH Car"/>
    <w:link w:val="TAH"/>
    <w:locked/>
    <w:rsid w:val="00BE7E48"/>
    <w:rPr>
      <w:rFonts w:ascii="Arial" w:hAnsi="Arial"/>
      <w:b/>
      <w:sz w:val="18"/>
      <w:lang w:val="en-GB"/>
    </w:rPr>
  </w:style>
  <w:style w:type="character" w:customStyle="1" w:styleId="TACChar">
    <w:name w:val="TAC Char"/>
    <w:link w:val="TAC"/>
    <w:locked/>
    <w:rsid w:val="00F108C0"/>
    <w:rPr>
      <w:rFonts w:ascii="Arial" w:hAnsi="Arial"/>
      <w:sz w:val="18"/>
      <w:lang w:val="en-GB"/>
    </w:rPr>
  </w:style>
  <w:style w:type="character" w:customStyle="1" w:styleId="THChar">
    <w:name w:val="TH Char"/>
    <w:link w:val="TH"/>
    <w:rsid w:val="00D35EE6"/>
    <w:rPr>
      <w:rFonts w:ascii="Arial" w:hAnsi="Arial"/>
      <w:b/>
      <w:lang w:val="en-GB"/>
    </w:rPr>
  </w:style>
  <w:style w:type="paragraph" w:styleId="Revision">
    <w:name w:val="Revision"/>
    <w:hidden/>
    <w:uiPriority w:val="99"/>
    <w:semiHidden/>
    <w:rsid w:val="00C45C10"/>
    <w:rPr>
      <w:rFonts w:ascii="Arial" w:hAnsi="Arial"/>
      <w:lang w:val="en-GB" w:eastAsia="zh-CN"/>
    </w:rPr>
  </w:style>
  <w:style w:type="character" w:styleId="UnresolvedMention">
    <w:name w:val="Unresolved Mention"/>
    <w:basedOn w:val="DefaultParagraphFont"/>
    <w:uiPriority w:val="99"/>
    <w:semiHidden/>
    <w:unhideWhenUsed/>
    <w:rsid w:val="00FC727C"/>
    <w:rPr>
      <w:color w:val="808080"/>
      <w:shd w:val="clear" w:color="auto" w:fill="E6E6E6"/>
    </w:rPr>
  </w:style>
  <w:style w:type="character" w:customStyle="1" w:styleId="B1Char1">
    <w:name w:val="B1 Char1"/>
    <w:locked/>
    <w:rsid w:val="004B18B9"/>
    <w:rPr>
      <w:rFonts w:ascii="Times New Roman" w:hAnsi="Times New Roman"/>
      <w:lang w:val="en-GB" w:eastAsia="en-GB"/>
    </w:rPr>
  </w:style>
  <w:style w:type="character" w:customStyle="1" w:styleId="CommentTextChar">
    <w:name w:val="Comment Text Char"/>
    <w:basedOn w:val="DefaultParagraphFont"/>
    <w:link w:val="CommentText"/>
    <w:semiHidden/>
    <w:rsid w:val="00EA0293"/>
    <w:rPr>
      <w:rFonts w:ascii="Arial" w:hAnsi="Arial"/>
      <w:lang w:val="en-GB" w:eastAsia="zh-CN"/>
    </w:rPr>
  </w:style>
  <w:style w:type="character" w:styleId="Strong">
    <w:name w:val="Strong"/>
    <w:basedOn w:val="DefaultParagraphFont"/>
    <w:qFormat/>
    <w:rsid w:val="00D7503D"/>
    <w:rPr>
      <w:b/>
      <w:bCs/>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3117A0"/>
    <w:rPr>
      <w:rFonts w:ascii="Arial" w:hAnsi="Arial"/>
      <w:b/>
      <w:bCs/>
      <w:lang w:val="en-GB" w:eastAsia="zh-CN"/>
    </w:rPr>
  </w:style>
  <w:style w:type="character" w:customStyle="1" w:styleId="TAHChar">
    <w:name w:val="TAH Char"/>
    <w:locked/>
    <w:rsid w:val="003117A0"/>
    <w:rPr>
      <w:rFonts w:ascii="Arial" w:hAnsi="Arial" w:cs="Arial"/>
      <w:b/>
      <w:sz w:val="18"/>
      <w:lang w:val="en-GB" w:eastAsia="x-none"/>
    </w:rPr>
  </w:style>
  <w:style w:type="paragraph" w:customStyle="1" w:styleId="CRCoverPage">
    <w:name w:val="CR Cover Page"/>
    <w:link w:val="CRCoverPageZchn"/>
    <w:rsid w:val="001D74C6"/>
    <w:pPr>
      <w:spacing w:after="120"/>
    </w:pPr>
    <w:rPr>
      <w:rFonts w:ascii="Arial" w:hAnsi="Arial"/>
      <w:lang w:val="en-GB"/>
    </w:rPr>
  </w:style>
  <w:style w:type="character" w:customStyle="1" w:styleId="CRCoverPageZchn">
    <w:name w:val="CR Cover Page Zchn"/>
    <w:link w:val="CRCoverPage"/>
    <w:locked/>
    <w:rsid w:val="001D74C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162338">
      <w:bodyDiv w:val="1"/>
      <w:marLeft w:val="0"/>
      <w:marRight w:val="0"/>
      <w:marTop w:val="0"/>
      <w:marBottom w:val="0"/>
      <w:divBdr>
        <w:top w:val="none" w:sz="0" w:space="0" w:color="auto"/>
        <w:left w:val="none" w:sz="0" w:space="0" w:color="auto"/>
        <w:bottom w:val="none" w:sz="0" w:space="0" w:color="auto"/>
        <w:right w:val="none" w:sz="0" w:space="0" w:color="auto"/>
      </w:divBdr>
    </w:div>
    <w:div w:id="437993834">
      <w:bodyDiv w:val="1"/>
      <w:marLeft w:val="0"/>
      <w:marRight w:val="0"/>
      <w:marTop w:val="0"/>
      <w:marBottom w:val="0"/>
      <w:divBdr>
        <w:top w:val="none" w:sz="0" w:space="0" w:color="auto"/>
        <w:left w:val="none" w:sz="0" w:space="0" w:color="auto"/>
        <w:bottom w:val="none" w:sz="0" w:space="0" w:color="auto"/>
        <w:right w:val="none" w:sz="0" w:space="0" w:color="auto"/>
      </w:divBdr>
    </w:div>
    <w:div w:id="513880877">
      <w:bodyDiv w:val="1"/>
      <w:marLeft w:val="0"/>
      <w:marRight w:val="0"/>
      <w:marTop w:val="0"/>
      <w:marBottom w:val="0"/>
      <w:divBdr>
        <w:top w:val="none" w:sz="0" w:space="0" w:color="auto"/>
        <w:left w:val="none" w:sz="0" w:space="0" w:color="auto"/>
        <w:bottom w:val="none" w:sz="0" w:space="0" w:color="auto"/>
        <w:right w:val="none" w:sz="0" w:space="0" w:color="auto"/>
      </w:divBdr>
    </w:div>
    <w:div w:id="588343650">
      <w:bodyDiv w:val="1"/>
      <w:marLeft w:val="0"/>
      <w:marRight w:val="0"/>
      <w:marTop w:val="0"/>
      <w:marBottom w:val="0"/>
      <w:divBdr>
        <w:top w:val="none" w:sz="0" w:space="0" w:color="auto"/>
        <w:left w:val="none" w:sz="0" w:space="0" w:color="auto"/>
        <w:bottom w:val="none" w:sz="0" w:space="0" w:color="auto"/>
        <w:right w:val="none" w:sz="0" w:space="0" w:color="auto"/>
      </w:divBdr>
    </w:div>
    <w:div w:id="613942523">
      <w:bodyDiv w:val="1"/>
      <w:marLeft w:val="0"/>
      <w:marRight w:val="0"/>
      <w:marTop w:val="0"/>
      <w:marBottom w:val="0"/>
      <w:divBdr>
        <w:top w:val="none" w:sz="0" w:space="0" w:color="auto"/>
        <w:left w:val="none" w:sz="0" w:space="0" w:color="auto"/>
        <w:bottom w:val="none" w:sz="0" w:space="0" w:color="auto"/>
        <w:right w:val="none" w:sz="0" w:space="0" w:color="auto"/>
      </w:divBdr>
    </w:div>
    <w:div w:id="862092645">
      <w:bodyDiv w:val="1"/>
      <w:marLeft w:val="0"/>
      <w:marRight w:val="0"/>
      <w:marTop w:val="0"/>
      <w:marBottom w:val="0"/>
      <w:divBdr>
        <w:top w:val="none" w:sz="0" w:space="0" w:color="auto"/>
        <w:left w:val="none" w:sz="0" w:space="0" w:color="auto"/>
        <w:bottom w:val="none" w:sz="0" w:space="0" w:color="auto"/>
        <w:right w:val="none" w:sz="0" w:space="0" w:color="auto"/>
      </w:divBdr>
    </w:div>
    <w:div w:id="95848995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7113813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91033342">
      <w:bodyDiv w:val="1"/>
      <w:marLeft w:val="0"/>
      <w:marRight w:val="0"/>
      <w:marTop w:val="0"/>
      <w:marBottom w:val="0"/>
      <w:divBdr>
        <w:top w:val="none" w:sz="0" w:space="0" w:color="auto"/>
        <w:left w:val="none" w:sz="0" w:space="0" w:color="auto"/>
        <w:bottom w:val="none" w:sz="0" w:space="0" w:color="auto"/>
        <w:right w:val="none" w:sz="0" w:space="0" w:color="auto"/>
      </w:divBdr>
    </w:div>
    <w:div w:id="1393970334">
      <w:bodyDiv w:val="1"/>
      <w:marLeft w:val="0"/>
      <w:marRight w:val="0"/>
      <w:marTop w:val="0"/>
      <w:marBottom w:val="0"/>
      <w:divBdr>
        <w:top w:val="none" w:sz="0" w:space="0" w:color="auto"/>
        <w:left w:val="none" w:sz="0" w:space="0" w:color="auto"/>
        <w:bottom w:val="none" w:sz="0" w:space="0" w:color="auto"/>
        <w:right w:val="none" w:sz="0" w:space="0" w:color="auto"/>
      </w:divBdr>
    </w:div>
    <w:div w:id="1763909440">
      <w:bodyDiv w:val="1"/>
      <w:marLeft w:val="0"/>
      <w:marRight w:val="0"/>
      <w:marTop w:val="0"/>
      <w:marBottom w:val="0"/>
      <w:divBdr>
        <w:top w:val="none" w:sz="0" w:space="0" w:color="auto"/>
        <w:left w:val="none" w:sz="0" w:space="0" w:color="auto"/>
        <w:bottom w:val="none" w:sz="0" w:space="0" w:color="auto"/>
        <w:right w:val="none" w:sz="0" w:space="0" w:color="auto"/>
      </w:divBdr>
    </w:div>
    <w:div w:id="1850171911">
      <w:bodyDiv w:val="1"/>
      <w:marLeft w:val="0"/>
      <w:marRight w:val="0"/>
      <w:marTop w:val="0"/>
      <w:marBottom w:val="0"/>
      <w:divBdr>
        <w:top w:val="none" w:sz="0" w:space="0" w:color="auto"/>
        <w:left w:val="none" w:sz="0" w:space="0" w:color="auto"/>
        <w:bottom w:val="none" w:sz="0" w:space="0" w:color="auto"/>
        <w:right w:val="none" w:sz="0" w:space="0" w:color="auto"/>
      </w:divBdr>
    </w:div>
    <w:div w:id="2089616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AN2_101_Athens/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5NUHHDQN7SK2-1476151046-22703</_dlc_DocId>
    <TaxCatchAl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https://ericsson.sharepoint.com/sites/star/_layouts/15/DocIdRedir.aspx?ID=5NUHHDQN7SK2-1476151046-22703</Url>
      <Description>5NUHHDQN7SK2-1476151046-22703</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Issue_x0020_in_x0020_OI_x0020_list_x0020__x0028_Y_x002f_N_x0029_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C9131157-8079-4DF1-9B0A-DC06FB51F917}">
  <ds:schemaRefs>
    <ds:schemaRef ds:uri="http://schemas.microsoft.com/sharepoint/events"/>
  </ds:schemaRefs>
</ds:datastoreItem>
</file>

<file path=customXml/itemProps2.xml><?xml version="1.0" encoding="utf-8"?>
<ds:datastoreItem xmlns:ds="http://schemas.openxmlformats.org/officeDocument/2006/customXml" ds:itemID="{DDC0CD27-CC89-4BC7-96E9-E3D4E1EFD7C9}">
  <ds:schemaRefs>
    <ds:schemaRef ds:uri="http://schemas.microsoft.com/sharepoint/v3/contenttype/forms"/>
  </ds:schemaRefs>
</ds:datastoreItem>
</file>

<file path=customXml/itemProps3.xml><?xml version="1.0" encoding="utf-8"?>
<ds:datastoreItem xmlns:ds="http://schemas.openxmlformats.org/officeDocument/2006/customXml" ds:itemID="{AADC9867-C16B-4B97-9188-2C0E817A8A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223DAB-6925-4053-802D-1EF208A3356E}">
  <ds:schemaRefs>
    <ds:schemaRef ds:uri="http://purl.org/dc/dcmityp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schemas.microsoft.com/sharepoint/v4"/>
    <ds:schemaRef ds:uri="http://purl.org/dc/terms/"/>
    <ds:schemaRef ds:uri="f166a696-7b5b-4ccd-9f0c-ffde0cceec81"/>
    <ds:schemaRef ds:uri="d8762117-8292-4133-b1c7-eab5c6487cfd"/>
    <ds:schemaRef ds:uri="611109f9-ed58-4498-a270-1fb2086a5321"/>
    <ds:schemaRef ds:uri="http://www.w3.org/XML/1998/namespace"/>
  </ds:schemaRefs>
</ds:datastoreItem>
</file>

<file path=customXml/itemProps5.xml><?xml version="1.0" encoding="utf-8"?>
<ds:datastoreItem xmlns:ds="http://schemas.openxmlformats.org/officeDocument/2006/customXml" ds:itemID="{36F046F6-8A37-4017-8E2C-172E0DEE604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R2-180xxxx%20-%20Contribution%20Template.dotx</Template>
  <TotalTime>617</TotalTime>
  <Pages>4</Pages>
  <Words>1270</Words>
  <Characters>7244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Author</cp:lastModifiedBy>
  <cp:revision>248</cp:revision>
  <cp:lastPrinted>2008-01-31T16:09:00Z</cp:lastPrinted>
  <dcterms:created xsi:type="dcterms:W3CDTF">2018-04-12T12:25:00Z</dcterms:created>
  <dcterms:modified xsi:type="dcterms:W3CDTF">2018-05-11T05:52:00Z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218c2dbf-789d-464e-8bec-cc76ebca660f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